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B56" w:rsidRDefault="00DD67AA">
      <w:pPr>
        <w:kinsoku w:val="0"/>
        <w:overflowPunct w:val="0"/>
        <w:autoSpaceDE/>
        <w:autoSpaceDN/>
        <w:adjustRightInd/>
        <w:spacing w:line="259" w:lineRule="exact"/>
        <w:jc w:val="center"/>
        <w:textAlignment w:val="baseline"/>
        <w:rPr>
          <w:rFonts w:ascii="Verdana" w:hAnsi="Verdana" w:cs="Verdana"/>
          <w:b/>
          <w:bCs/>
          <w:sz w:val="22"/>
          <w:szCs w:val="22"/>
          <w:lang w:val="es-ES" w:eastAsia="es-ES"/>
        </w:rPr>
      </w:pPr>
      <w:bookmarkStart w:id="0" w:name="_GoBack"/>
      <w:bookmarkEnd w:id="0"/>
      <w:r>
        <w:rPr>
          <w:rFonts w:ascii="Verdana" w:hAnsi="Verdana" w:cs="Verdana"/>
          <w:b/>
          <w:bCs/>
          <w:sz w:val="22"/>
          <w:szCs w:val="22"/>
          <w:lang w:val="es-ES" w:eastAsia="es-ES"/>
        </w:rPr>
        <w:t>RESOLUCION TAT-3341-2017</w:t>
      </w:r>
    </w:p>
    <w:p w:rsidR="00617B56" w:rsidRDefault="00DD67AA">
      <w:pPr>
        <w:kinsoku w:val="0"/>
        <w:overflowPunct w:val="0"/>
        <w:autoSpaceDE/>
        <w:autoSpaceDN/>
        <w:adjustRightInd/>
        <w:spacing w:before="547" w:line="270"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 a las diez horas cincuenta y cinco minutos del treinta y uno de octubre de dos mil diecisiete. -</w:t>
      </w:r>
    </w:p>
    <w:p w:rsidR="00617B56" w:rsidRDefault="00DD67AA">
      <w:pPr>
        <w:kinsoku w:val="0"/>
        <w:overflowPunct w:val="0"/>
        <w:autoSpaceDE/>
        <w:autoSpaceDN/>
        <w:adjustRightInd/>
        <w:spacing w:before="263" w:line="270" w:lineRule="exact"/>
        <w:ind w:right="144"/>
        <w:jc w:val="both"/>
        <w:textAlignment w:val="baseline"/>
        <w:rPr>
          <w:rFonts w:ascii="Verdana" w:hAnsi="Verdana" w:cs="Verdana"/>
          <w:b/>
          <w:bCs/>
          <w:spacing w:val="-9"/>
          <w:sz w:val="22"/>
          <w:szCs w:val="22"/>
          <w:lang w:val="es-ES" w:eastAsia="es-ES"/>
        </w:rPr>
      </w:pPr>
      <w:r>
        <w:rPr>
          <w:rFonts w:ascii="Verdana" w:hAnsi="Verdana" w:cs="Verdana"/>
          <w:b/>
          <w:bCs/>
          <w:spacing w:val="-9"/>
          <w:sz w:val="22"/>
          <w:szCs w:val="22"/>
          <w:lang w:val="es-ES" w:eastAsia="es-ES"/>
        </w:rPr>
        <w:t xml:space="preserve">RECURSO DE APELACIÓN EN SUBSIDIO, </w:t>
      </w:r>
      <w:r>
        <w:rPr>
          <w:rFonts w:ascii="Verdana" w:hAnsi="Verdana" w:cs="Verdana"/>
          <w:spacing w:val="-9"/>
          <w:sz w:val="22"/>
          <w:szCs w:val="22"/>
          <w:lang w:val="es-ES" w:eastAsia="es-ES"/>
        </w:rPr>
        <w:t xml:space="preserve">interpuesto por </w:t>
      </w:r>
      <w:r>
        <w:rPr>
          <w:rFonts w:ascii="Verdana" w:hAnsi="Verdana" w:cs="Verdana"/>
          <w:b/>
          <w:bCs/>
          <w:spacing w:val="-9"/>
          <w:sz w:val="22"/>
          <w:szCs w:val="22"/>
          <w:lang w:val="es-ES" w:eastAsia="es-ES"/>
        </w:rPr>
        <w:t>O</w:t>
      </w:r>
      <w:r w:rsidR="00462336">
        <w:rPr>
          <w:rFonts w:ascii="Verdana" w:hAnsi="Verdana" w:cs="Verdana"/>
          <w:b/>
          <w:bCs/>
          <w:spacing w:val="-9"/>
          <w:sz w:val="22"/>
          <w:szCs w:val="22"/>
          <w:lang w:val="es-ES" w:eastAsia="es-ES"/>
        </w:rPr>
        <w:t>.G.S.H.</w:t>
      </w:r>
      <w:r>
        <w:rPr>
          <w:rFonts w:ascii="Verdana" w:hAnsi="Verdana" w:cs="Verdana"/>
          <w:b/>
          <w:bCs/>
          <w:spacing w:val="-9"/>
          <w:sz w:val="22"/>
          <w:szCs w:val="22"/>
          <w:lang w:val="es-ES" w:eastAsia="es-ES"/>
        </w:rPr>
        <w:t xml:space="preserve">, cédula de identidad número </w:t>
      </w:r>
      <w:r w:rsidR="00462336">
        <w:rPr>
          <w:rFonts w:ascii="Verdana" w:hAnsi="Verdana" w:cs="Verdana"/>
          <w:b/>
          <w:bCs/>
          <w:spacing w:val="-9"/>
          <w:sz w:val="22"/>
          <w:szCs w:val="22"/>
          <w:lang w:val="es-ES" w:eastAsia="es-ES"/>
        </w:rPr>
        <w:t>…</w:t>
      </w:r>
      <w:r>
        <w:rPr>
          <w:rFonts w:ascii="Verdana" w:hAnsi="Verdana" w:cs="Verdana"/>
          <w:b/>
          <w:bCs/>
          <w:spacing w:val="-9"/>
          <w:sz w:val="22"/>
          <w:szCs w:val="22"/>
          <w:lang w:val="es-ES" w:eastAsia="es-ES"/>
        </w:rPr>
        <w:t xml:space="preserve">, </w:t>
      </w:r>
      <w:r>
        <w:rPr>
          <w:rFonts w:ascii="Verdana" w:hAnsi="Verdana" w:cs="Verdana"/>
          <w:spacing w:val="-9"/>
          <w:sz w:val="22"/>
          <w:szCs w:val="22"/>
          <w:lang w:val="es-ES" w:eastAsia="es-ES"/>
        </w:rPr>
        <w:t xml:space="preserve">contra el </w:t>
      </w:r>
      <w:r>
        <w:rPr>
          <w:rFonts w:ascii="Verdana" w:hAnsi="Verdana" w:cs="Verdana"/>
          <w:b/>
          <w:bCs/>
          <w:spacing w:val="-9"/>
          <w:sz w:val="22"/>
          <w:szCs w:val="22"/>
          <w:lang w:val="es-ES" w:eastAsia="es-ES"/>
        </w:rPr>
        <w:t xml:space="preserve">artículo 7.8.2 de la Sesión Ordinaria 13-2017 de 22 de marzo de 2017, </w:t>
      </w:r>
      <w:r>
        <w:rPr>
          <w:rFonts w:ascii="Verdana" w:hAnsi="Verdana" w:cs="Verdana"/>
          <w:spacing w:val="-9"/>
          <w:sz w:val="22"/>
          <w:szCs w:val="22"/>
          <w:lang w:val="es-ES" w:eastAsia="es-ES"/>
        </w:rPr>
        <w:t xml:space="preserve">dictado por la JUNTA DIRECTIVA DEL CONSEJO DE TRANSPORTE PÚBLICO y tramitado en este despacho bajo </w:t>
      </w:r>
      <w:r>
        <w:rPr>
          <w:rFonts w:ascii="Verdana" w:hAnsi="Verdana" w:cs="Verdana"/>
          <w:b/>
          <w:bCs/>
          <w:spacing w:val="-9"/>
          <w:sz w:val="22"/>
          <w:szCs w:val="22"/>
          <w:lang w:val="es-ES" w:eastAsia="es-ES"/>
        </w:rPr>
        <w:t>Expediente Administrativo No. TAT-110-17.</w:t>
      </w:r>
    </w:p>
    <w:p w:rsidR="00617B56" w:rsidRDefault="00DD67AA">
      <w:pPr>
        <w:kinsoku w:val="0"/>
        <w:overflowPunct w:val="0"/>
        <w:autoSpaceDE/>
        <w:autoSpaceDN/>
        <w:adjustRightInd/>
        <w:spacing w:before="265" w:line="263" w:lineRule="exact"/>
        <w:jc w:val="center"/>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t>RESULTANDO:</w:t>
      </w:r>
    </w:p>
    <w:p w:rsidR="00617B56" w:rsidRDefault="00DD67AA">
      <w:pPr>
        <w:kinsoku w:val="0"/>
        <w:overflowPunct w:val="0"/>
        <w:autoSpaceDE/>
        <w:autoSpaceDN/>
        <w:adjustRightInd/>
        <w:spacing w:before="295" w:line="267" w:lineRule="exact"/>
        <w:ind w:right="144"/>
        <w:jc w:val="both"/>
        <w:textAlignment w:val="baseline"/>
        <w:rPr>
          <w:rFonts w:ascii="Verdana" w:hAnsi="Verdana" w:cs="Verdana"/>
          <w:spacing w:val="-1"/>
          <w:sz w:val="22"/>
          <w:szCs w:val="22"/>
          <w:lang w:val="es-ES" w:eastAsia="es-ES"/>
        </w:rPr>
      </w:pPr>
      <w:r>
        <w:rPr>
          <w:rFonts w:ascii="Verdana" w:hAnsi="Verdana" w:cs="Verdana"/>
          <w:b/>
          <w:bCs/>
          <w:spacing w:val="-1"/>
          <w:sz w:val="22"/>
          <w:szCs w:val="22"/>
          <w:lang w:val="es-ES" w:eastAsia="es-ES"/>
        </w:rPr>
        <w:t xml:space="preserve">PRIMERO: </w:t>
      </w:r>
      <w:r>
        <w:rPr>
          <w:rFonts w:ascii="Verdana" w:hAnsi="Verdana" w:cs="Verdana"/>
          <w:spacing w:val="-1"/>
          <w:sz w:val="22"/>
          <w:szCs w:val="22"/>
          <w:lang w:val="es-ES" w:eastAsia="es-ES"/>
        </w:rPr>
        <w:t xml:space="preserve">La JUNTA DIRECTIVA DEL CONSEJO DE TRANSPORTE PÚBLICO, mediante </w:t>
      </w:r>
      <w:r>
        <w:rPr>
          <w:rFonts w:ascii="Verdana" w:hAnsi="Verdana" w:cs="Verdana"/>
          <w:b/>
          <w:bCs/>
          <w:spacing w:val="-1"/>
          <w:sz w:val="22"/>
          <w:szCs w:val="22"/>
          <w:lang w:val="es-ES" w:eastAsia="es-ES"/>
        </w:rPr>
        <w:t xml:space="preserve">artículo 7.8.2 de la Sesión Ordinaria 13-2017 de 22 de marzo de 2017, </w:t>
      </w:r>
      <w:r>
        <w:rPr>
          <w:rFonts w:ascii="Verdana" w:hAnsi="Verdana" w:cs="Verdana"/>
          <w:spacing w:val="-1"/>
          <w:sz w:val="22"/>
          <w:szCs w:val="22"/>
          <w:lang w:val="es-ES" w:eastAsia="es-ES"/>
        </w:rPr>
        <w:t xml:space="preserve">acuerda lo siguiente: "(...)1. </w:t>
      </w:r>
      <w:r>
        <w:rPr>
          <w:rFonts w:ascii="Verdana" w:hAnsi="Verdana" w:cs="Verdana"/>
          <w:i/>
          <w:iCs/>
          <w:spacing w:val="-1"/>
          <w:sz w:val="22"/>
          <w:szCs w:val="22"/>
          <w:lang w:val="es-ES" w:eastAsia="es-ES"/>
        </w:rPr>
        <w:t xml:space="preserve">Aprobar, basados en los fundamentos, motivos y contenidos, desarrollados en los considerandos del oficio </w:t>
      </w:r>
      <w:r>
        <w:rPr>
          <w:rFonts w:ascii="Verdana" w:hAnsi="Verdana" w:cs="Verdana"/>
          <w:b/>
          <w:bCs/>
          <w:i/>
          <w:iCs/>
          <w:spacing w:val="-1"/>
          <w:sz w:val="22"/>
          <w:szCs w:val="22"/>
          <w:lang w:val="es-ES" w:eastAsia="es-ES"/>
        </w:rPr>
        <w:t xml:space="preserve">DAJ 2017-000701, </w:t>
      </w:r>
      <w:r>
        <w:rPr>
          <w:rFonts w:ascii="Verdana" w:hAnsi="Verdana" w:cs="Verdana"/>
          <w:i/>
          <w:iCs/>
          <w:spacing w:val="-1"/>
          <w:sz w:val="22"/>
          <w:szCs w:val="22"/>
          <w:lang w:val="es-ES" w:eastAsia="es-ES"/>
        </w:rPr>
        <w:t xml:space="preserve">todas las recomendaciones contenidas en el oficio dicho, el cual forma parte integral de este acuerdo. 2. Cancelar el derecho de concesión de la placa </w:t>
      </w:r>
      <w:r>
        <w:rPr>
          <w:rFonts w:ascii="Verdana" w:hAnsi="Verdana" w:cs="Verdana"/>
          <w:b/>
          <w:bCs/>
          <w:i/>
          <w:iCs/>
          <w:spacing w:val="-1"/>
          <w:sz w:val="22"/>
          <w:szCs w:val="22"/>
          <w:lang w:val="es-ES" w:eastAsia="es-ES"/>
        </w:rPr>
        <w:t>TSJ-</w:t>
      </w:r>
      <w:r w:rsidR="00462336">
        <w:rPr>
          <w:rFonts w:ascii="Verdana" w:hAnsi="Verdana" w:cs="Verdana"/>
          <w:b/>
          <w:bCs/>
          <w:i/>
          <w:iCs/>
          <w:spacing w:val="-1"/>
          <w:sz w:val="22"/>
          <w:szCs w:val="22"/>
          <w:lang w:val="es-ES" w:eastAsia="es-ES"/>
        </w:rPr>
        <w:t>XXXX</w:t>
      </w:r>
      <w:r>
        <w:rPr>
          <w:rFonts w:ascii="Verdana" w:hAnsi="Verdana" w:cs="Verdana"/>
          <w:b/>
          <w:bCs/>
          <w:i/>
          <w:iCs/>
          <w:spacing w:val="-1"/>
          <w:sz w:val="22"/>
          <w:szCs w:val="22"/>
          <w:lang w:val="es-ES" w:eastAsia="es-ES"/>
        </w:rPr>
        <w:t xml:space="preserve">, </w:t>
      </w:r>
      <w:r>
        <w:rPr>
          <w:rFonts w:ascii="Verdana" w:hAnsi="Verdana" w:cs="Verdana"/>
          <w:i/>
          <w:iCs/>
          <w:spacing w:val="-1"/>
          <w:sz w:val="22"/>
          <w:szCs w:val="22"/>
          <w:lang w:val="es-ES" w:eastAsia="es-ES"/>
        </w:rPr>
        <w:t xml:space="preserve">cuyo titular es el señor </w:t>
      </w:r>
      <w:r>
        <w:rPr>
          <w:rFonts w:ascii="Verdana" w:hAnsi="Verdana" w:cs="Verdana"/>
          <w:b/>
          <w:bCs/>
          <w:spacing w:val="-1"/>
          <w:sz w:val="22"/>
          <w:szCs w:val="22"/>
          <w:lang w:val="es-ES" w:eastAsia="es-ES"/>
        </w:rPr>
        <w:t>O</w:t>
      </w:r>
      <w:r w:rsidR="00462336">
        <w:rPr>
          <w:rFonts w:ascii="Verdana" w:hAnsi="Verdana" w:cs="Verdana"/>
          <w:b/>
          <w:bCs/>
          <w:spacing w:val="-1"/>
          <w:sz w:val="22"/>
          <w:szCs w:val="22"/>
          <w:lang w:val="es-ES" w:eastAsia="es-ES"/>
        </w:rPr>
        <w:t>.G.S.H.</w:t>
      </w:r>
      <w:r>
        <w:rPr>
          <w:rFonts w:ascii="Verdana" w:hAnsi="Verdana" w:cs="Verdana"/>
          <w:b/>
          <w:bCs/>
          <w:spacing w:val="-1"/>
          <w:sz w:val="22"/>
          <w:szCs w:val="22"/>
          <w:lang w:val="es-ES" w:eastAsia="es-ES"/>
        </w:rPr>
        <w:t xml:space="preserve">, </w:t>
      </w:r>
      <w:r>
        <w:rPr>
          <w:rFonts w:ascii="Verdana" w:hAnsi="Verdana" w:cs="Verdana"/>
          <w:i/>
          <w:iCs/>
          <w:spacing w:val="-1"/>
          <w:sz w:val="22"/>
          <w:szCs w:val="22"/>
          <w:lang w:val="es-ES" w:eastAsia="es-ES"/>
        </w:rPr>
        <w:t xml:space="preserve">en virtud de no haber realizado el cambio de unidad, antes del vencimiento del rango de antigüedad legalmente establecido y teniendo como consecuencia, el incumplimiento de la obligación de prestar el servicio personalmente por al menos 8 horas diarias, afectando con ello el principio de continuidad del servicio. </w:t>
      </w:r>
      <w:r>
        <w:rPr>
          <w:rFonts w:ascii="Verdana" w:hAnsi="Verdana" w:cs="Verdana"/>
          <w:spacing w:val="-1"/>
          <w:sz w:val="22"/>
          <w:szCs w:val="22"/>
          <w:lang w:val="es-ES" w:eastAsia="es-ES"/>
        </w:rPr>
        <w:t>(...)"(Léase folios del 47 al 51 del expediente administrativo)</w:t>
      </w:r>
    </w:p>
    <w:p w:rsidR="00617B56" w:rsidRDefault="00DD67AA">
      <w:pPr>
        <w:kinsoku w:val="0"/>
        <w:overflowPunct w:val="0"/>
        <w:autoSpaceDE/>
        <w:autoSpaceDN/>
        <w:adjustRightInd/>
        <w:spacing w:before="354" w:after="546" w:line="270" w:lineRule="exact"/>
        <w:ind w:right="144"/>
        <w:jc w:val="both"/>
        <w:textAlignment w:val="baseline"/>
        <w:rPr>
          <w:rFonts w:ascii="Verdana" w:hAnsi="Verdana" w:cs="Verdana"/>
          <w:spacing w:val="-3"/>
          <w:sz w:val="22"/>
          <w:szCs w:val="22"/>
          <w:lang w:val="es-ES" w:eastAsia="es-ES"/>
        </w:rPr>
      </w:pPr>
      <w:r>
        <w:rPr>
          <w:rFonts w:ascii="Verdana" w:hAnsi="Verdana" w:cs="Verdana"/>
          <w:b/>
          <w:bCs/>
          <w:spacing w:val="-3"/>
          <w:sz w:val="22"/>
          <w:szCs w:val="22"/>
          <w:lang w:val="es-ES" w:eastAsia="es-ES"/>
        </w:rPr>
        <w:t xml:space="preserve">SEGUNDO: </w:t>
      </w:r>
      <w:r>
        <w:rPr>
          <w:rFonts w:ascii="Verdana" w:hAnsi="Verdana" w:cs="Verdana"/>
          <w:spacing w:val="-3"/>
          <w:sz w:val="22"/>
          <w:szCs w:val="22"/>
          <w:lang w:val="es-ES" w:eastAsia="es-ES"/>
        </w:rPr>
        <w:t xml:space="preserve">El señor </w:t>
      </w:r>
      <w:r>
        <w:rPr>
          <w:rFonts w:ascii="Verdana" w:hAnsi="Verdana" w:cs="Verdana"/>
          <w:b/>
          <w:bCs/>
          <w:spacing w:val="-3"/>
          <w:sz w:val="22"/>
          <w:szCs w:val="22"/>
          <w:lang w:val="es-ES" w:eastAsia="es-ES"/>
        </w:rPr>
        <w:t>O</w:t>
      </w:r>
      <w:r w:rsidR="00462336">
        <w:rPr>
          <w:rFonts w:ascii="Verdana" w:hAnsi="Verdana" w:cs="Verdana"/>
          <w:b/>
          <w:bCs/>
          <w:spacing w:val="-3"/>
          <w:sz w:val="22"/>
          <w:szCs w:val="22"/>
          <w:lang w:val="es-ES" w:eastAsia="es-ES"/>
        </w:rPr>
        <w:t>.G.S.H.</w:t>
      </w:r>
      <w:r>
        <w:rPr>
          <w:rFonts w:ascii="Verdana" w:hAnsi="Verdana" w:cs="Verdana"/>
          <w:b/>
          <w:bCs/>
          <w:spacing w:val="-3"/>
          <w:sz w:val="22"/>
          <w:szCs w:val="22"/>
          <w:lang w:val="es-ES" w:eastAsia="es-ES"/>
        </w:rPr>
        <w:t xml:space="preserve">, EN SU RECURSO DE APELACIÓN, </w:t>
      </w:r>
      <w:r>
        <w:rPr>
          <w:rFonts w:ascii="Verdana" w:hAnsi="Verdana" w:cs="Verdana"/>
          <w:spacing w:val="-3"/>
          <w:sz w:val="22"/>
          <w:szCs w:val="22"/>
          <w:lang w:val="es-ES" w:eastAsia="es-ES"/>
        </w:rPr>
        <w:t xml:space="preserve">argumenta que cuenta con la Legitimación suficiente para actuar en el presente asunto. Que ha transcurrido más de un año desde que la Junta Directiva comisionó mediante </w:t>
      </w:r>
      <w:r>
        <w:rPr>
          <w:rFonts w:ascii="Verdana" w:hAnsi="Verdana" w:cs="Verdana"/>
          <w:b/>
          <w:bCs/>
          <w:spacing w:val="-3"/>
          <w:sz w:val="22"/>
          <w:szCs w:val="22"/>
          <w:lang w:val="es-ES" w:eastAsia="es-ES"/>
        </w:rPr>
        <w:t xml:space="preserve">acuerdo 8.1 de la sesión 10-2016 de 3 de marzo de 2016 a la Dirección de Asuntos Jurídicos, </w:t>
      </w:r>
      <w:r>
        <w:rPr>
          <w:rFonts w:ascii="Verdana" w:hAnsi="Verdana" w:cs="Verdana"/>
          <w:spacing w:val="-3"/>
          <w:sz w:val="22"/>
          <w:szCs w:val="22"/>
          <w:lang w:val="es-ES" w:eastAsia="es-ES"/>
        </w:rPr>
        <w:t>para que instruyera el respectivo procedimiento administrativo, hasta que ésta pone el informe final en conocimiento del órgano decisor, el 14 de marzo de 2017. Que es cierto que prestaba el servicio con una unidad modelo 2000 que debía ser cambiada en el año 2015, pero la misma Administración por los problemas de muchos taxistas fue aprobando prórrogas para que se efectuaran dichas diligencias; en su caso presentó la solicitud de cambio de unidad en el tiempo requerido pero los trámites se vieron truncados por problemas ajenos a él y modificaciones en las decisiones del mismo CTP. La Junta Directiva del Consejo de Transporte Público mediante acuerdo 8.2 de la sesión ordinaria 6-2016 de 16 de febrero de el mismo</w:t>
      </w:r>
    </w:p>
    <w:p w:rsidR="00617B56" w:rsidRDefault="00617B56">
      <w:pPr>
        <w:widowControl/>
        <w:rPr>
          <w:sz w:val="24"/>
          <w:szCs w:val="24"/>
        </w:rPr>
        <w:sectPr w:rsidR="00617B56">
          <w:pgSz w:w="12317" w:h="15802"/>
          <w:pgMar w:top="1320" w:right="1547" w:bottom="286" w:left="1670" w:header="720" w:footer="720" w:gutter="0"/>
          <w:cols w:space="720"/>
          <w:noEndnote/>
        </w:sectPr>
      </w:pPr>
    </w:p>
    <w:p w:rsidR="00617B56" w:rsidRDefault="00DD67AA">
      <w:pPr>
        <w:kinsoku w:val="0"/>
        <w:overflowPunct w:val="0"/>
        <w:autoSpaceDE/>
        <w:autoSpaceDN/>
        <w:adjustRightInd/>
        <w:spacing w:before="49" w:line="265"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 xml:space="preserve">año, dio como fecha prorrogada para el cambio de unidades hasta el último día hábil del mes de junio de 2016, acuerdo que posteriormente fue completado por otros y que se constituye en un acto generador de derechos a su favor y que se fortalece con el oficio </w:t>
      </w:r>
      <w:r>
        <w:rPr>
          <w:rFonts w:ascii="Verdana" w:hAnsi="Verdana" w:cs="Verdana"/>
          <w:b/>
          <w:bCs/>
          <w:sz w:val="22"/>
          <w:szCs w:val="22"/>
          <w:lang w:val="es-ES" w:eastAsia="es-ES"/>
        </w:rPr>
        <w:t xml:space="preserve">DACP-TCU-2016-1184 </w:t>
      </w:r>
      <w:r>
        <w:rPr>
          <w:rFonts w:ascii="Verdana" w:hAnsi="Verdana" w:cs="Verdana"/>
          <w:sz w:val="22"/>
          <w:szCs w:val="22"/>
          <w:lang w:val="es-ES" w:eastAsia="es-ES"/>
        </w:rPr>
        <w:t>del 2 de mayo de 2016, del Departamento de Administración y Concesiones mediante el cual se solicita al Registro Nacional autorizar la desinscripción del vehículo modelo 2000 que operaba por otro modelo 2017. En mayo del 2016 logró presentar todos los documentos requeridos para el cambio de unidad incluyendo proforma de la agencia Suzuki, empresa que le comunica el 10 de agosto de 2016 que el nuevo vehículo sale a su nombre asignándole placa particular e indicándole que se requería una modificación en un oficio el cual se presentó a solventar ante el CTP, donde se le indica de un atraso con la C.C.S.S. lo cual fue solucionada de manera inmediata. Solicita se declare con lugar el Recurso de Apelación. (Léanse folios del 10 al 14 del expediente administrativo)</w:t>
      </w:r>
    </w:p>
    <w:p w:rsidR="00617B56" w:rsidRDefault="00DD67AA">
      <w:pPr>
        <w:kinsoku w:val="0"/>
        <w:overflowPunct w:val="0"/>
        <w:autoSpaceDE/>
        <w:autoSpaceDN/>
        <w:adjustRightInd/>
        <w:spacing w:before="288" w:line="265"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TERCERO: </w:t>
      </w:r>
      <w:r>
        <w:rPr>
          <w:rFonts w:ascii="Verdana" w:hAnsi="Verdana" w:cs="Verdana"/>
          <w:sz w:val="22"/>
          <w:szCs w:val="22"/>
          <w:lang w:val="es-ES" w:eastAsia="es-ES"/>
        </w:rPr>
        <w:t xml:space="preserve">La Junta Directiva del Consejo de Transporte </w:t>
      </w:r>
      <w:proofErr w:type="gramStart"/>
      <w:r>
        <w:rPr>
          <w:rFonts w:ascii="Verdana" w:hAnsi="Verdana" w:cs="Verdana"/>
          <w:sz w:val="22"/>
          <w:szCs w:val="22"/>
          <w:lang w:val="es-ES" w:eastAsia="es-ES"/>
        </w:rPr>
        <w:t>Público,.</w:t>
      </w:r>
      <w:proofErr w:type="gramEnd"/>
      <w:r>
        <w:rPr>
          <w:rFonts w:ascii="Verdana" w:hAnsi="Verdana" w:cs="Verdana"/>
          <w:sz w:val="22"/>
          <w:szCs w:val="22"/>
          <w:lang w:val="es-ES" w:eastAsia="es-ES"/>
        </w:rPr>
        <w:t xml:space="preserve"> mediante </w:t>
      </w:r>
      <w:r>
        <w:rPr>
          <w:rFonts w:ascii="Verdana" w:hAnsi="Verdana" w:cs="Verdana"/>
          <w:b/>
          <w:bCs/>
          <w:sz w:val="22"/>
          <w:szCs w:val="22"/>
          <w:lang w:val="es-ES" w:eastAsia="es-ES"/>
        </w:rPr>
        <w:t xml:space="preserve">acuerdo 7.6.2 de la Sesión Ordinaria 37-3017, </w:t>
      </w:r>
      <w:r>
        <w:rPr>
          <w:rFonts w:ascii="Verdana" w:hAnsi="Verdana" w:cs="Verdana"/>
          <w:sz w:val="22"/>
          <w:szCs w:val="22"/>
          <w:lang w:val="es-ES" w:eastAsia="es-ES"/>
        </w:rPr>
        <w:t xml:space="preserve">acoge el informe técnico de la Dirección de Asuntos Jurídicos el </w:t>
      </w:r>
      <w:r>
        <w:rPr>
          <w:rFonts w:ascii="Verdana" w:hAnsi="Verdana" w:cs="Verdana"/>
          <w:b/>
          <w:bCs/>
          <w:sz w:val="22"/>
          <w:szCs w:val="22"/>
          <w:lang w:val="es-ES" w:eastAsia="es-ES"/>
        </w:rPr>
        <w:t>D</w:t>
      </w:r>
      <w:r w:rsidR="00462336">
        <w:rPr>
          <w:rFonts w:ascii="Verdana" w:hAnsi="Verdana" w:cs="Verdana"/>
          <w:b/>
          <w:bCs/>
          <w:sz w:val="22"/>
          <w:szCs w:val="22"/>
          <w:lang w:val="es-ES" w:eastAsia="es-ES"/>
        </w:rPr>
        <w:t>AJ</w:t>
      </w:r>
      <w:r>
        <w:rPr>
          <w:rFonts w:ascii="Verdana" w:hAnsi="Verdana" w:cs="Verdana"/>
          <w:b/>
          <w:bCs/>
          <w:sz w:val="22"/>
          <w:szCs w:val="22"/>
          <w:lang w:val="es-ES" w:eastAsia="es-ES"/>
        </w:rPr>
        <w:t xml:space="preserve">-2017-002365 del 12 de setiembre de 2017 </w:t>
      </w:r>
      <w:r>
        <w:rPr>
          <w:rFonts w:ascii="Verdana" w:hAnsi="Verdana" w:cs="Verdana"/>
          <w:sz w:val="22"/>
          <w:szCs w:val="22"/>
          <w:lang w:val="es-ES" w:eastAsia="es-ES"/>
        </w:rPr>
        <w:t>y dispone declarar sin lugar el recurso de Revocatoria, por improcedente. (Léanse folios del 3 al 8 del expediente administrativo)</w:t>
      </w:r>
    </w:p>
    <w:p w:rsidR="00617B56" w:rsidRDefault="00DD67AA">
      <w:pPr>
        <w:kinsoku w:val="0"/>
        <w:overflowPunct w:val="0"/>
        <w:autoSpaceDE/>
        <w:autoSpaceDN/>
        <w:adjustRightInd/>
        <w:spacing w:before="280" w:line="265"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El Tribunal Administrativo de Transporte mediante prevención TAT-110-17 de las nueve horas ocho minutos del 28 de setiembre de 2017, da traslado al recurrente para que se refiera al acuerdo que le rechazó la revocatoria y éste se apersona por escrito el día 9 de octubre de 2017 indicándo los mismos argumentos de su líbelo, pero adiciona que el procedimiento se encuentra caduco y prescrito, recalca además que presentó en tiempo los documentos y que todo se debió a un error en la agencia Suzuki. (Léanse folios 83 y del 92 al 95 del expediente administrativo)</w:t>
      </w:r>
    </w:p>
    <w:p w:rsidR="00617B56" w:rsidRDefault="00DD67AA">
      <w:pPr>
        <w:kinsoku w:val="0"/>
        <w:overflowPunct w:val="0"/>
        <w:autoSpaceDE/>
        <w:autoSpaceDN/>
        <w:adjustRightInd/>
        <w:spacing w:before="258" w:line="265" w:lineRule="exact"/>
        <w:ind w:left="72" w:right="72"/>
        <w:jc w:val="both"/>
        <w:textAlignment w:val="baseline"/>
        <w:rPr>
          <w:rFonts w:ascii="Verdana" w:hAnsi="Verdana" w:cs="Verdana"/>
          <w:spacing w:val="-3"/>
          <w:sz w:val="22"/>
          <w:szCs w:val="22"/>
          <w:lang w:val="es-ES" w:eastAsia="es-ES"/>
        </w:rPr>
      </w:pPr>
      <w:r>
        <w:rPr>
          <w:rFonts w:ascii="Verdana" w:hAnsi="Verdana" w:cs="Verdana"/>
          <w:b/>
          <w:bCs/>
          <w:spacing w:val="-3"/>
          <w:sz w:val="22"/>
          <w:szCs w:val="22"/>
          <w:lang w:val="es-ES" w:eastAsia="es-ES"/>
        </w:rPr>
        <w:t xml:space="preserve">QUINTO: </w:t>
      </w:r>
      <w:r>
        <w:rPr>
          <w:rFonts w:ascii="Verdana" w:hAnsi="Verdana" w:cs="Verdana"/>
          <w:spacing w:val="-3"/>
          <w:sz w:val="22"/>
          <w:szCs w:val="22"/>
          <w:lang w:val="es-ES" w:eastAsia="es-ES"/>
        </w:rPr>
        <w:t xml:space="preserve">La Junta Directiva del Consejo de transporte Público mediante </w:t>
      </w:r>
      <w:r>
        <w:rPr>
          <w:rFonts w:ascii="Verdana" w:hAnsi="Verdana" w:cs="Verdana"/>
          <w:b/>
          <w:bCs/>
          <w:spacing w:val="-3"/>
          <w:sz w:val="22"/>
          <w:szCs w:val="22"/>
          <w:lang w:val="es-ES" w:eastAsia="es-ES"/>
        </w:rPr>
        <w:t xml:space="preserve">acuerdo 8.1 de la Sesión Ordinaria 10-2016 de 3 de marzo de 2016 </w:t>
      </w:r>
      <w:r>
        <w:rPr>
          <w:rFonts w:ascii="Verdana" w:hAnsi="Verdana" w:cs="Verdana"/>
          <w:spacing w:val="-3"/>
          <w:sz w:val="22"/>
          <w:szCs w:val="22"/>
          <w:lang w:val="es-ES" w:eastAsia="es-ES"/>
        </w:rPr>
        <w:t xml:space="preserve">acoge el oficio </w:t>
      </w:r>
      <w:r>
        <w:rPr>
          <w:rFonts w:ascii="Verdana" w:hAnsi="Verdana" w:cs="Verdana"/>
          <w:b/>
          <w:bCs/>
          <w:spacing w:val="-3"/>
          <w:sz w:val="22"/>
          <w:szCs w:val="22"/>
          <w:lang w:val="es-ES" w:eastAsia="es-ES"/>
        </w:rPr>
        <w:t xml:space="preserve">2016-000722 </w:t>
      </w:r>
      <w:r>
        <w:rPr>
          <w:rFonts w:ascii="Verdana" w:hAnsi="Verdana" w:cs="Verdana"/>
          <w:spacing w:val="-3"/>
          <w:sz w:val="22"/>
          <w:szCs w:val="22"/>
          <w:lang w:val="es-ES" w:eastAsia="es-ES"/>
        </w:rPr>
        <w:t xml:space="preserve">de la Dirección de Asuntos Jurídicos y dispone la apertura de un procedimiento administrativo de caducidad entre otros al recurrente </w:t>
      </w:r>
      <w:r>
        <w:rPr>
          <w:rFonts w:ascii="Verdana" w:hAnsi="Verdana" w:cs="Verdana"/>
          <w:b/>
          <w:bCs/>
          <w:spacing w:val="-3"/>
          <w:sz w:val="22"/>
          <w:szCs w:val="22"/>
          <w:lang w:val="es-ES" w:eastAsia="es-ES"/>
        </w:rPr>
        <w:t xml:space="preserve">placa </w:t>
      </w:r>
      <w:r>
        <w:rPr>
          <w:rFonts w:ascii="Verdana" w:hAnsi="Verdana" w:cs="Verdana"/>
          <w:b/>
          <w:bCs/>
          <w:i/>
          <w:iCs/>
          <w:spacing w:val="-3"/>
          <w:sz w:val="22"/>
          <w:szCs w:val="22"/>
          <w:lang w:val="es-ES" w:eastAsia="es-ES"/>
        </w:rPr>
        <w:t>TSJ-</w:t>
      </w:r>
      <w:r w:rsidR="00462336">
        <w:rPr>
          <w:rFonts w:ascii="Verdana" w:hAnsi="Verdana" w:cs="Verdana"/>
          <w:b/>
          <w:bCs/>
          <w:i/>
          <w:iCs/>
          <w:spacing w:val="-3"/>
          <w:sz w:val="22"/>
          <w:szCs w:val="22"/>
          <w:lang w:val="es-ES" w:eastAsia="es-ES"/>
        </w:rPr>
        <w:t>XXXX</w:t>
      </w:r>
      <w:r>
        <w:rPr>
          <w:rFonts w:ascii="Verdana" w:hAnsi="Verdana" w:cs="Verdana"/>
          <w:b/>
          <w:bCs/>
          <w:i/>
          <w:iCs/>
          <w:spacing w:val="-3"/>
          <w:sz w:val="22"/>
          <w:szCs w:val="22"/>
          <w:lang w:val="es-ES" w:eastAsia="es-ES"/>
        </w:rPr>
        <w:t xml:space="preserve">, </w:t>
      </w:r>
      <w:r>
        <w:rPr>
          <w:rFonts w:ascii="Verdana" w:hAnsi="Verdana" w:cs="Verdana"/>
          <w:spacing w:val="-3"/>
          <w:sz w:val="22"/>
          <w:szCs w:val="22"/>
          <w:lang w:val="es-ES" w:eastAsia="es-ES"/>
        </w:rPr>
        <w:t>por no tramitar el cambio de unidad una vez vencida la vida útil de este. (léase folio 60 al 80 del expediente administrativo)</w:t>
      </w:r>
    </w:p>
    <w:p w:rsidR="00617B56" w:rsidRDefault="00DD67AA">
      <w:pPr>
        <w:kinsoku w:val="0"/>
        <w:overflowPunct w:val="0"/>
        <w:autoSpaceDE/>
        <w:autoSpaceDN/>
        <w:adjustRightInd/>
        <w:spacing w:before="297" w:after="647" w:line="268" w:lineRule="exact"/>
        <w:ind w:left="72" w:right="72"/>
        <w:jc w:val="both"/>
        <w:textAlignment w:val="baseline"/>
        <w:rPr>
          <w:rFonts w:ascii="Verdana" w:hAnsi="Verdana" w:cs="Verdana"/>
          <w:i/>
          <w:iCs/>
          <w:spacing w:val="-1"/>
          <w:sz w:val="22"/>
          <w:szCs w:val="22"/>
          <w:lang w:val="es-ES" w:eastAsia="es-ES"/>
        </w:rPr>
      </w:pPr>
      <w:r>
        <w:rPr>
          <w:rFonts w:ascii="Verdana" w:hAnsi="Verdana" w:cs="Verdana"/>
          <w:b/>
          <w:bCs/>
          <w:spacing w:val="-1"/>
          <w:sz w:val="22"/>
          <w:szCs w:val="22"/>
          <w:lang w:val="es-ES" w:eastAsia="es-ES"/>
        </w:rPr>
        <w:t xml:space="preserve">SEXTO: </w:t>
      </w:r>
      <w:r>
        <w:rPr>
          <w:rFonts w:ascii="Verdana" w:hAnsi="Verdana" w:cs="Verdana"/>
          <w:spacing w:val="-1"/>
          <w:sz w:val="22"/>
          <w:szCs w:val="22"/>
          <w:lang w:val="es-ES" w:eastAsia="es-ES"/>
        </w:rPr>
        <w:t xml:space="preserve">La Junta Directiva del Consejo de transporte Público mediante </w:t>
      </w:r>
      <w:r>
        <w:rPr>
          <w:rFonts w:ascii="Verdana" w:hAnsi="Verdana" w:cs="Verdana"/>
          <w:b/>
          <w:bCs/>
          <w:spacing w:val="-1"/>
          <w:sz w:val="22"/>
          <w:szCs w:val="22"/>
          <w:lang w:val="es-ES" w:eastAsia="es-ES"/>
        </w:rPr>
        <w:t xml:space="preserve">acuerdo 8.2 de la Sesión Ordinaria 6-2016 de 10 de febrero de 2016 </w:t>
      </w:r>
      <w:r>
        <w:rPr>
          <w:rFonts w:ascii="Verdana" w:hAnsi="Verdana" w:cs="Verdana"/>
          <w:spacing w:val="-1"/>
          <w:sz w:val="22"/>
          <w:szCs w:val="22"/>
          <w:lang w:val="es-ES" w:eastAsia="es-ES"/>
        </w:rPr>
        <w:t xml:space="preserve">acoge el oficio </w:t>
      </w:r>
      <w:r>
        <w:rPr>
          <w:rFonts w:ascii="Verdana" w:hAnsi="Verdana" w:cs="Verdana"/>
          <w:b/>
          <w:bCs/>
          <w:spacing w:val="-1"/>
          <w:sz w:val="22"/>
          <w:szCs w:val="22"/>
          <w:lang w:val="es-ES" w:eastAsia="es-ES"/>
        </w:rPr>
        <w:t xml:space="preserve">2016-000430 </w:t>
      </w:r>
      <w:r>
        <w:rPr>
          <w:rFonts w:ascii="Verdana" w:hAnsi="Verdana" w:cs="Verdana"/>
          <w:spacing w:val="-1"/>
          <w:sz w:val="22"/>
          <w:szCs w:val="22"/>
          <w:lang w:val="es-ES" w:eastAsia="es-ES"/>
        </w:rPr>
        <w:t xml:space="preserve">de la Dirección de Asuntos Jurídicos, referente al oficio del Departamento de Administración de Concesiones y Permisos el </w:t>
      </w:r>
      <w:r>
        <w:rPr>
          <w:rFonts w:ascii="Verdana" w:hAnsi="Verdana" w:cs="Verdana"/>
          <w:b/>
          <w:bCs/>
          <w:spacing w:val="-1"/>
          <w:sz w:val="22"/>
          <w:szCs w:val="22"/>
          <w:lang w:val="es-ES" w:eastAsia="es-ES"/>
        </w:rPr>
        <w:t>DACP 2016</w:t>
      </w:r>
      <w:r>
        <w:rPr>
          <w:rFonts w:ascii="Verdana" w:hAnsi="Verdana" w:cs="Verdana"/>
          <w:b/>
          <w:bCs/>
          <w:spacing w:val="-1"/>
          <w:sz w:val="22"/>
          <w:szCs w:val="22"/>
          <w:lang w:val="es-ES" w:eastAsia="es-ES"/>
        </w:rPr>
        <w:softHyphen/>
        <w:t xml:space="preserve">0510 </w:t>
      </w:r>
      <w:r>
        <w:rPr>
          <w:rFonts w:ascii="Verdana" w:hAnsi="Verdana" w:cs="Verdana"/>
          <w:spacing w:val="-1"/>
          <w:sz w:val="22"/>
          <w:szCs w:val="22"/>
          <w:lang w:val="es-ES" w:eastAsia="es-ES"/>
        </w:rPr>
        <w:t xml:space="preserve">y dispone en su parte dispositiva </w:t>
      </w:r>
      <w:r>
        <w:rPr>
          <w:rFonts w:ascii="Verdana" w:hAnsi="Verdana" w:cs="Verdana"/>
          <w:i/>
          <w:iCs/>
          <w:spacing w:val="-1"/>
          <w:sz w:val="22"/>
          <w:szCs w:val="22"/>
          <w:lang w:val="es-ES" w:eastAsia="es-ES"/>
        </w:rPr>
        <w:t>"2. Iniciar Procedimiento Administrativo en contra de los 163 concesionarios de taxi (detallados en el cuadro que de seguido se inserta), que presentaron solicitud de cambio de unidad (modelo 2000) en fecha posterior al 14 de enero del 2016, tomando como fundamento, motivos y contenidos desarrollados en el análisis realizado en el oficio DAJ 2016</w:t>
      </w:r>
      <w:r>
        <w:rPr>
          <w:rFonts w:ascii="Verdana" w:hAnsi="Verdana" w:cs="Verdana"/>
          <w:i/>
          <w:iCs/>
          <w:spacing w:val="-1"/>
          <w:sz w:val="22"/>
          <w:szCs w:val="22"/>
          <w:lang w:val="es-ES" w:eastAsia="es-ES"/>
        </w:rPr>
        <w:softHyphen/>
        <w:t>000430; acuerdo que conlleva efectos individuales para cada uno de los concesionarios inmersos en la lista que de seguido se inserta, y se comisiona a</w:t>
      </w:r>
    </w:p>
    <w:p w:rsidR="00617B56" w:rsidRDefault="00617B56">
      <w:pPr>
        <w:widowControl/>
        <w:rPr>
          <w:sz w:val="24"/>
          <w:szCs w:val="24"/>
        </w:rPr>
        <w:sectPr w:rsidR="00617B56">
          <w:pgSz w:w="12317" w:h="15802"/>
          <w:pgMar w:top="1420" w:right="1585" w:bottom="206" w:left="1632" w:header="720" w:footer="720" w:gutter="0"/>
          <w:cols w:space="720"/>
          <w:noEndnote/>
        </w:sectPr>
      </w:pPr>
    </w:p>
    <w:p w:rsidR="00617B56" w:rsidRDefault="00DD67AA">
      <w:pPr>
        <w:kinsoku w:val="0"/>
        <w:overflowPunct w:val="0"/>
        <w:autoSpaceDE/>
        <w:autoSpaceDN/>
        <w:adjustRightInd/>
        <w:spacing w:after="226" w:line="269" w:lineRule="exact"/>
        <w:ind w:left="72" w:right="72"/>
        <w:jc w:val="both"/>
        <w:textAlignment w:val="baseline"/>
        <w:rPr>
          <w:rFonts w:ascii="Verdana" w:hAnsi="Verdana" w:cs="Verdana"/>
          <w:b/>
          <w:bCs/>
          <w:spacing w:val="2"/>
          <w:sz w:val="22"/>
          <w:szCs w:val="22"/>
          <w:lang w:val="es-ES" w:eastAsia="es-ES"/>
        </w:rPr>
      </w:pPr>
      <w:r>
        <w:rPr>
          <w:rFonts w:ascii="Verdana" w:hAnsi="Verdana" w:cs="Verdana"/>
          <w:i/>
          <w:iCs/>
          <w:spacing w:val="2"/>
          <w:sz w:val="22"/>
          <w:szCs w:val="22"/>
          <w:lang w:val="es-ES" w:eastAsia="es-ES"/>
        </w:rPr>
        <w:lastRenderedPageBreak/>
        <w:t xml:space="preserve">la Dirección de Asuntos Jurídicos para la ejecución de los procedimientos aquí ordenados (...) 3. Informar a los 163 concesionarios de taxi que se encuentran contenidos en la lista inserta en el por tanto anterior, que en estos casos, puede concretarse el cambio de unidad, previo cumplimiento de requisitos dispuestos para tales efectos, situación que deberá determinar el Departamento de Administración de Concesiones y Permisos, y previo a que el concesionario señale expresamente por escrito y conste en el expediente, estar de acuerdo con el cambio de unidad, indistintamente de las resultas o hallazgos que se configuren finalmente en el procedimiento administrativo, para lo cual, deberá completar la boleta que se adjunta en el por tanto siguiente </w:t>
      </w:r>
      <w:r>
        <w:rPr>
          <w:rFonts w:ascii="Verdana" w:hAnsi="Verdana" w:cs="Verdana"/>
          <w:spacing w:val="2"/>
          <w:sz w:val="22"/>
          <w:szCs w:val="22"/>
          <w:lang w:val="es-ES" w:eastAsia="es-ES"/>
        </w:rPr>
        <w:t xml:space="preserve">(...)4. Aprobar la boleta que de seguido se inserta, en la cual el concesionario contenido en el marco fáctico expuesto en el informe DAJ 2016-000430, autoriza a la Administración, para que concrete el cambio de unidad (modelo 2000): </w:t>
      </w:r>
      <w:r>
        <w:rPr>
          <w:rFonts w:ascii="Verdana" w:hAnsi="Verdana" w:cs="Verdana"/>
          <w:b/>
          <w:bCs/>
          <w:spacing w:val="2"/>
          <w:sz w:val="22"/>
          <w:szCs w:val="22"/>
          <w:lang w:val="es-ES" w:eastAsia="es-ES"/>
        </w:rPr>
        <w:t>Solicitud de Cambio de unidad. El o la suscrito (a),</w:t>
      </w:r>
    </w:p>
    <w:p w:rsidR="00617B56" w:rsidRDefault="00DD67AA">
      <w:pPr>
        <w:tabs>
          <w:tab w:val="right" w:leader="underscore" w:pos="9000"/>
        </w:tabs>
        <w:kinsoku w:val="0"/>
        <w:overflowPunct w:val="0"/>
        <w:autoSpaceDE/>
        <w:autoSpaceDN/>
        <w:adjustRightInd/>
        <w:spacing w:before="28" w:line="271" w:lineRule="exact"/>
        <w:ind w:left="72" w:right="72"/>
        <w:jc w:val="both"/>
        <w:textAlignment w:val="baseline"/>
        <w:rPr>
          <w:rFonts w:ascii="Verdana" w:hAnsi="Verdana" w:cs="Verdana"/>
          <w:b/>
          <w:bCs/>
          <w:sz w:val="22"/>
          <w:szCs w:val="22"/>
          <w:lang w:val="es-ES" w:eastAsia="es-ES"/>
        </w:rPr>
      </w:pPr>
      <w:r>
        <w:rPr>
          <w:noProof/>
        </w:rPr>
        <mc:AlternateContent>
          <mc:Choice Requires="wps">
            <w:drawing>
              <wp:anchor distT="0" distB="0" distL="0" distR="0" simplePos="0" relativeHeight="251658240" behindDoc="0" locked="0" layoutInCell="0" allowOverlap="1">
                <wp:simplePos x="0" y="0"/>
                <wp:positionH relativeFrom="page">
                  <wp:posOffset>1073150</wp:posOffset>
                </wp:positionH>
                <wp:positionV relativeFrom="page">
                  <wp:posOffset>3389630</wp:posOffset>
                </wp:positionV>
                <wp:extent cx="3435350" cy="0"/>
                <wp:effectExtent l="0" t="0" r="0" b="0"/>
                <wp:wrapSquare wrapText="bothSides"/>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5350"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2C2F5"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84.5pt,266.9pt" to="355pt,2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doEEQ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" o:allowincell="f" strokeweight="1.45pt">
                <w10:wrap type="square" anchorx="page" anchory="page"/>
              </v:line>
            </w:pict>
          </mc:Fallback>
        </mc:AlternateContent>
      </w:r>
      <w:r>
        <w:rPr>
          <w:rFonts w:ascii="Verdana" w:hAnsi="Verdana" w:cs="Verdana"/>
          <w:b/>
          <w:bCs/>
          <w:sz w:val="22"/>
          <w:szCs w:val="22"/>
          <w:lang w:val="es-ES" w:eastAsia="es-ES"/>
        </w:rPr>
        <w:t>cédula</w:t>
      </w:r>
      <w:r>
        <w:rPr>
          <w:rFonts w:ascii="Verdana" w:hAnsi="Verdana" w:cs="Verdana"/>
          <w:b/>
          <w:bCs/>
          <w:sz w:val="22"/>
          <w:szCs w:val="22"/>
          <w:lang w:val="es-ES" w:eastAsia="es-ES"/>
        </w:rPr>
        <w:tab/>
        <w:t>, en mi condición de concesionario (a) del</w:t>
      </w:r>
    </w:p>
    <w:p w:rsidR="00617B56" w:rsidRDefault="00DD67AA">
      <w:pPr>
        <w:tabs>
          <w:tab w:val="right" w:leader="underscore" w:pos="9000"/>
        </w:tabs>
        <w:kinsoku w:val="0"/>
        <w:overflowPunct w:val="0"/>
        <w:autoSpaceDE/>
        <w:autoSpaceDN/>
        <w:adjustRightInd/>
        <w:spacing w:before="17" w:line="271" w:lineRule="exact"/>
        <w:ind w:left="72" w:right="72"/>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taxi placa</w:t>
      </w:r>
      <w:r>
        <w:rPr>
          <w:rFonts w:ascii="Verdana" w:hAnsi="Verdana" w:cs="Verdana"/>
          <w:b/>
          <w:bCs/>
          <w:sz w:val="22"/>
          <w:szCs w:val="22"/>
          <w:lang w:val="es-ES" w:eastAsia="es-ES"/>
        </w:rPr>
        <w:tab/>
        <w:t>, solicito expresamente a la</w:t>
      </w:r>
    </w:p>
    <w:p w:rsidR="00617B56" w:rsidRDefault="00DD67AA">
      <w:pPr>
        <w:kinsoku w:val="0"/>
        <w:overflowPunct w:val="0"/>
        <w:autoSpaceDE/>
        <w:autoSpaceDN/>
        <w:adjustRightInd/>
        <w:spacing w:line="268" w:lineRule="exact"/>
        <w:ind w:left="72" w:right="72"/>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Administración, para que concrete y autorice la gestión de cambio de unidad modelo 2000, a pesar de que la misma fue presentada fuera del plazo dispuesto, y teniendo pleno conocimiento del establecimiento de un procedimiento administrativo por dicha causal en mi contra, motivo por el cual, eximo de toda responsabilidad civil, contractual y</w:t>
      </w:r>
    </w:p>
    <w:p w:rsidR="00617B56" w:rsidRDefault="00DD67AA">
      <w:pPr>
        <w:tabs>
          <w:tab w:val="right" w:pos="9000"/>
        </w:tabs>
        <w:kinsoku w:val="0"/>
        <w:overflowPunct w:val="0"/>
        <w:autoSpaceDE/>
        <w:autoSpaceDN/>
        <w:adjustRightInd/>
        <w:spacing w:line="268"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administrativa por el cambio de unidad que se realice. Firma:</w:t>
      </w:r>
      <w:r>
        <w:rPr>
          <w:rFonts w:ascii="Verdana" w:hAnsi="Verdana" w:cs="Verdana"/>
          <w:b/>
          <w:bCs/>
          <w:sz w:val="22"/>
          <w:szCs w:val="22"/>
          <w:lang w:val="es-ES" w:eastAsia="es-ES"/>
        </w:rPr>
        <w:tab/>
        <w:t>Fecha:</w:t>
      </w:r>
      <w:r>
        <w:rPr>
          <w:rFonts w:ascii="Verdana" w:hAnsi="Verdana" w:cs="Verdana"/>
          <w:b/>
          <w:bCs/>
          <w:sz w:val="22"/>
          <w:szCs w:val="22"/>
          <w:lang w:val="es-ES" w:eastAsia="es-ES"/>
        </w:rPr>
        <w:br/>
      </w:r>
      <w:r>
        <w:rPr>
          <w:rFonts w:ascii="Verdana" w:hAnsi="Verdana" w:cs="Verdana"/>
          <w:i/>
          <w:iCs/>
          <w:sz w:val="22"/>
          <w:szCs w:val="22"/>
          <w:lang w:val="es-ES" w:eastAsia="es-ES"/>
        </w:rPr>
        <w:t xml:space="preserve">5. Disponer como plazo para aquellas solicitudes de cambio de unidad hasta el </w:t>
      </w:r>
      <w:r>
        <w:rPr>
          <w:rFonts w:ascii="Verdana" w:hAnsi="Verdana" w:cs="Verdana"/>
          <w:b/>
          <w:bCs/>
          <w:i/>
          <w:iCs/>
          <w:sz w:val="22"/>
          <w:szCs w:val="22"/>
          <w:lang w:val="es-ES" w:eastAsia="es-ES"/>
        </w:rPr>
        <w:t xml:space="preserve">último día hábil del mes de junio del 2016, </w:t>
      </w:r>
      <w:r>
        <w:rPr>
          <w:rFonts w:ascii="Verdana" w:hAnsi="Verdana" w:cs="Verdana"/>
          <w:i/>
          <w:iCs/>
          <w:sz w:val="22"/>
          <w:szCs w:val="22"/>
          <w:lang w:val="es-ES" w:eastAsia="es-ES"/>
        </w:rPr>
        <w:t xml:space="preserve">como fecha máxima en que se dará el tratamiento descrito en el oficio </w:t>
      </w:r>
      <w:r>
        <w:rPr>
          <w:rFonts w:ascii="Verdana" w:hAnsi="Verdana" w:cs="Verdana"/>
          <w:b/>
          <w:bCs/>
          <w:i/>
          <w:iCs/>
          <w:sz w:val="22"/>
          <w:szCs w:val="22"/>
          <w:lang w:val="es-ES" w:eastAsia="es-ES"/>
        </w:rPr>
        <w:t xml:space="preserve">DAJ 2016000430, </w:t>
      </w:r>
      <w:r>
        <w:rPr>
          <w:rFonts w:ascii="Verdana" w:hAnsi="Verdana" w:cs="Verdana"/>
          <w:i/>
          <w:iCs/>
          <w:sz w:val="22"/>
          <w:szCs w:val="22"/>
          <w:lang w:val="es-ES" w:eastAsia="es-ES"/>
        </w:rPr>
        <w:t xml:space="preserve">a las solicitudes de cambio de unidad modelo 2000 (...). </w:t>
      </w:r>
      <w:r>
        <w:rPr>
          <w:rFonts w:ascii="Verdana" w:hAnsi="Verdana" w:cs="Verdana"/>
          <w:sz w:val="22"/>
          <w:szCs w:val="22"/>
          <w:lang w:val="es-ES" w:eastAsia="es-ES"/>
        </w:rPr>
        <w:t>(el resaltado en negrita es nuestro) (léanse folios del 96 al 101 del expediente administrativo)</w:t>
      </w:r>
    </w:p>
    <w:p w:rsidR="00617B56" w:rsidRDefault="00DD67AA">
      <w:pPr>
        <w:kinsoku w:val="0"/>
        <w:overflowPunct w:val="0"/>
        <w:autoSpaceDE/>
        <w:autoSpaceDN/>
        <w:adjustRightInd/>
        <w:spacing w:before="275" w:line="266"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SETIMO: </w:t>
      </w:r>
      <w:r>
        <w:rPr>
          <w:rFonts w:ascii="Verdana" w:hAnsi="Verdana" w:cs="Verdana"/>
          <w:sz w:val="22"/>
          <w:szCs w:val="22"/>
          <w:lang w:val="es-ES" w:eastAsia="es-ES"/>
        </w:rPr>
        <w:t xml:space="preserve">Al recurrente en cumplimiento de lo dispuesto por la Junta Directiva del CTP mediante </w:t>
      </w:r>
      <w:r>
        <w:rPr>
          <w:rFonts w:ascii="Verdana" w:hAnsi="Verdana" w:cs="Verdana"/>
          <w:b/>
          <w:bCs/>
          <w:sz w:val="22"/>
          <w:szCs w:val="22"/>
          <w:lang w:val="es-ES" w:eastAsia="es-ES"/>
        </w:rPr>
        <w:t xml:space="preserve">acuerdo 8.1 de la Sesión Ordinaria 10-2016 de 3 de marzo de 2016 </w:t>
      </w:r>
      <w:r>
        <w:rPr>
          <w:rFonts w:ascii="Verdana" w:hAnsi="Verdana" w:cs="Verdana"/>
          <w:sz w:val="22"/>
          <w:szCs w:val="22"/>
          <w:lang w:val="es-ES" w:eastAsia="es-ES"/>
        </w:rPr>
        <w:t xml:space="preserve">que acoge el oficio </w:t>
      </w:r>
      <w:r>
        <w:rPr>
          <w:rFonts w:ascii="Verdana" w:hAnsi="Verdana" w:cs="Verdana"/>
          <w:b/>
          <w:bCs/>
          <w:sz w:val="22"/>
          <w:szCs w:val="22"/>
          <w:lang w:val="es-ES" w:eastAsia="es-ES"/>
        </w:rPr>
        <w:t xml:space="preserve">2016-000722 </w:t>
      </w:r>
      <w:r>
        <w:rPr>
          <w:rFonts w:ascii="Verdana" w:hAnsi="Verdana" w:cs="Verdana"/>
          <w:sz w:val="22"/>
          <w:szCs w:val="22"/>
          <w:lang w:val="es-ES" w:eastAsia="es-ES"/>
        </w:rPr>
        <w:t>de la Dirección de Asuntos Jurídicos, se le instruye procedimiento administrativo se realiza el traslado de cargos y se realiza la comparecencia oral donde tuvo la oportunidad de ejercer su derecho de la defensa y posteriormente se emite el acto de recomendación. No consta en expediente documento alguno donde se halla invocado la caducidad del procedimiento antes de la adopción del acto recurrido. (Léanse folios 56, 54,52 y del 49 al 51 del expediente administrativo)</w:t>
      </w:r>
    </w:p>
    <w:p w:rsidR="00617B56" w:rsidRDefault="00DD67AA">
      <w:pPr>
        <w:kinsoku w:val="0"/>
        <w:overflowPunct w:val="0"/>
        <w:autoSpaceDE/>
        <w:autoSpaceDN/>
        <w:adjustRightInd/>
        <w:spacing w:before="233" w:line="284"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OCTAVO: </w:t>
      </w:r>
      <w:r>
        <w:rPr>
          <w:rFonts w:ascii="Verdana" w:hAnsi="Verdana" w:cs="Verdana"/>
          <w:sz w:val="22"/>
          <w:szCs w:val="22"/>
          <w:lang w:val="es-ES" w:eastAsia="es-ES"/>
        </w:rPr>
        <w:t>En los procedimientos seguidos se han observado las prescripciones legales.</w:t>
      </w:r>
    </w:p>
    <w:p w:rsidR="00617B56" w:rsidRDefault="00DD67AA">
      <w:pPr>
        <w:kinsoku w:val="0"/>
        <w:overflowPunct w:val="0"/>
        <w:autoSpaceDE/>
        <w:autoSpaceDN/>
        <w:adjustRightInd/>
        <w:spacing w:before="528" w:after="1713" w:line="274" w:lineRule="exact"/>
        <w:ind w:left="72" w:right="72"/>
        <w:textAlignment w:val="baseline"/>
        <w:rPr>
          <w:rFonts w:ascii="Verdana" w:hAnsi="Verdana" w:cs="Verdana"/>
          <w:sz w:val="22"/>
          <w:szCs w:val="22"/>
          <w:lang w:val="es-ES" w:eastAsia="es-ES"/>
        </w:rPr>
      </w:pPr>
      <w:r>
        <w:rPr>
          <w:rFonts w:ascii="Verdana" w:hAnsi="Verdana" w:cs="Verdana"/>
          <w:sz w:val="22"/>
          <w:szCs w:val="22"/>
          <w:lang w:val="es-ES" w:eastAsia="es-ES"/>
        </w:rPr>
        <w:t>Redacta la Jueza Pérez Peláez; y,</w:t>
      </w:r>
    </w:p>
    <w:p w:rsidR="00617B56" w:rsidRDefault="00617B56">
      <w:pPr>
        <w:widowControl/>
        <w:rPr>
          <w:sz w:val="24"/>
          <w:szCs w:val="24"/>
        </w:rPr>
        <w:sectPr w:rsidR="00617B56">
          <w:pgSz w:w="12326" w:h="15821"/>
          <w:pgMar w:top="1320" w:right="1617" w:bottom="285" w:left="1609" w:header="720" w:footer="720" w:gutter="0"/>
          <w:cols w:space="720"/>
          <w:noEndnote/>
        </w:sectPr>
      </w:pPr>
    </w:p>
    <w:p w:rsidR="00617B56" w:rsidRDefault="00DD67AA">
      <w:pPr>
        <w:kinsoku w:val="0"/>
        <w:overflowPunct w:val="0"/>
        <w:autoSpaceDE/>
        <w:autoSpaceDN/>
        <w:adjustRightInd/>
        <w:spacing w:before="9" w:line="270" w:lineRule="exact"/>
        <w:ind w:righ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lastRenderedPageBreak/>
        <w:t>CONSIDERANDO</w:t>
      </w:r>
    </w:p>
    <w:p w:rsidR="00617B56" w:rsidRDefault="00DD67AA">
      <w:pPr>
        <w:numPr>
          <w:ilvl w:val="0"/>
          <w:numId w:val="1"/>
        </w:numPr>
        <w:kinsoku w:val="0"/>
        <w:overflowPunct w:val="0"/>
        <w:autoSpaceDE/>
        <w:autoSpaceDN/>
        <w:adjustRightInd/>
        <w:spacing w:before="270" w:line="266"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COMPETENCIA: </w:t>
      </w:r>
      <w:r>
        <w:rPr>
          <w:rFonts w:ascii="Verdana" w:hAnsi="Verdana" w:cs="Verdana"/>
          <w:sz w:val="22"/>
          <w:szCs w:val="22"/>
          <w:lang w:val="es-ES" w:eastAsia="es-ES"/>
        </w:rPr>
        <w:t>De conformidad con el artículo 22 de la Ley Reguladora del Servicio Público de Transporte Remunerado de Personas en Vehículos en la Modalidad de Taxi, No. 7969 del 22 de diciembre de 1999, el Tribunal Administrativo de Transporte es el competente para conocer y resolver el presente recurso de apelación en subsidio.</w:t>
      </w:r>
    </w:p>
    <w:p w:rsidR="00617B56" w:rsidRDefault="00DD67AA">
      <w:pPr>
        <w:numPr>
          <w:ilvl w:val="0"/>
          <w:numId w:val="2"/>
        </w:numPr>
        <w:kinsoku w:val="0"/>
        <w:overflowPunct w:val="0"/>
        <w:autoSpaceDE/>
        <w:autoSpaceDN/>
        <w:adjustRightInd/>
        <w:spacing w:before="285" w:line="267" w:lineRule="exact"/>
        <w:ind w:right="72"/>
        <w:jc w:val="both"/>
        <w:textAlignment w:val="baseline"/>
        <w:rPr>
          <w:rFonts w:ascii="Verdana" w:hAnsi="Verdana" w:cs="Verdana"/>
          <w:spacing w:val="-3"/>
          <w:sz w:val="22"/>
          <w:szCs w:val="22"/>
          <w:lang w:val="es-ES" w:eastAsia="es-ES"/>
        </w:rPr>
      </w:pPr>
      <w:r>
        <w:rPr>
          <w:rFonts w:ascii="Verdana" w:hAnsi="Verdana" w:cs="Verdana"/>
          <w:b/>
          <w:bCs/>
          <w:spacing w:val="-3"/>
          <w:sz w:val="22"/>
          <w:szCs w:val="22"/>
          <w:lang w:val="es-ES" w:eastAsia="es-ES"/>
        </w:rPr>
        <w:t xml:space="preserve">SOBRE LA ADMISIBILIDAD DEL RECURSO: </w:t>
      </w:r>
      <w:r>
        <w:rPr>
          <w:rFonts w:ascii="Verdana" w:hAnsi="Verdana" w:cs="Verdana"/>
          <w:b/>
          <w:bCs/>
          <w:spacing w:val="-3"/>
          <w:sz w:val="22"/>
          <w:szCs w:val="22"/>
          <w:u w:val="single"/>
          <w:lang w:val="es-ES" w:eastAsia="es-ES"/>
        </w:rPr>
        <w:t>En cuanto a la Legitimación:</w:t>
      </w:r>
      <w:r>
        <w:rPr>
          <w:rFonts w:ascii="Verdana" w:hAnsi="Verdana" w:cs="Verdana"/>
          <w:spacing w:val="-3"/>
          <w:sz w:val="22"/>
          <w:szCs w:val="22"/>
          <w:lang w:val="es-ES" w:eastAsia="es-ES"/>
        </w:rPr>
        <w:t xml:space="preserve"> Al señor </w:t>
      </w:r>
      <w:r>
        <w:rPr>
          <w:rFonts w:ascii="Verdana" w:hAnsi="Verdana" w:cs="Verdana"/>
          <w:b/>
          <w:bCs/>
          <w:spacing w:val="-3"/>
          <w:sz w:val="22"/>
          <w:szCs w:val="22"/>
          <w:lang w:val="es-ES" w:eastAsia="es-ES"/>
        </w:rPr>
        <w:t>O</w:t>
      </w:r>
      <w:r w:rsidR="00462336">
        <w:rPr>
          <w:rFonts w:ascii="Verdana" w:hAnsi="Verdana" w:cs="Verdana"/>
          <w:b/>
          <w:bCs/>
          <w:spacing w:val="-3"/>
          <w:sz w:val="22"/>
          <w:szCs w:val="22"/>
          <w:lang w:val="es-ES" w:eastAsia="es-ES"/>
        </w:rPr>
        <w:t>.G.S.H.</w:t>
      </w:r>
      <w:r>
        <w:rPr>
          <w:rFonts w:ascii="Verdana" w:hAnsi="Verdana" w:cs="Verdana"/>
          <w:b/>
          <w:bCs/>
          <w:spacing w:val="-3"/>
          <w:sz w:val="22"/>
          <w:szCs w:val="22"/>
          <w:lang w:val="es-ES" w:eastAsia="es-ES"/>
        </w:rPr>
        <w:t xml:space="preserve">, cédula de identidad número </w:t>
      </w:r>
      <w:r w:rsidR="00462336">
        <w:rPr>
          <w:rFonts w:ascii="Verdana" w:hAnsi="Verdana" w:cs="Verdana"/>
          <w:b/>
          <w:bCs/>
          <w:spacing w:val="-3"/>
          <w:sz w:val="22"/>
          <w:szCs w:val="22"/>
          <w:lang w:val="es-ES" w:eastAsia="es-ES"/>
        </w:rPr>
        <w:t>…</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 xml:space="preserve">mediante el acuerdo impugnado le caducaron la concesión de la placa de taxi que ostenta la </w:t>
      </w:r>
      <w:r>
        <w:rPr>
          <w:rFonts w:ascii="Verdana" w:hAnsi="Verdana" w:cs="Verdana"/>
          <w:b/>
          <w:bCs/>
          <w:spacing w:val="-3"/>
          <w:sz w:val="22"/>
          <w:szCs w:val="22"/>
          <w:lang w:val="es-ES" w:eastAsia="es-ES"/>
        </w:rPr>
        <w:t>TSJ-</w:t>
      </w:r>
      <w:r w:rsidR="00462336">
        <w:rPr>
          <w:rFonts w:ascii="Verdana" w:hAnsi="Verdana" w:cs="Verdana"/>
          <w:b/>
          <w:bCs/>
          <w:spacing w:val="-3"/>
          <w:sz w:val="22"/>
          <w:szCs w:val="22"/>
          <w:lang w:val="es-ES" w:eastAsia="es-ES"/>
        </w:rPr>
        <w:t>XXXX</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 xml:space="preserve">por lo que cuenta con la Legitimación suficiente para actuar en el presente asunto. </w:t>
      </w:r>
      <w:r>
        <w:rPr>
          <w:rFonts w:ascii="Verdana" w:hAnsi="Verdana" w:cs="Verdana"/>
          <w:b/>
          <w:bCs/>
          <w:spacing w:val="-3"/>
          <w:sz w:val="22"/>
          <w:szCs w:val="22"/>
          <w:u w:val="single"/>
          <w:lang w:val="es-ES" w:eastAsia="es-ES"/>
        </w:rPr>
        <w:t>En cuanto al plazo:</w:t>
      </w:r>
      <w:r>
        <w:rPr>
          <w:rFonts w:ascii="Verdana" w:hAnsi="Verdana" w:cs="Verdana"/>
          <w:spacing w:val="-3"/>
          <w:sz w:val="22"/>
          <w:szCs w:val="22"/>
          <w:lang w:val="es-ES" w:eastAsia="es-ES"/>
        </w:rPr>
        <w:t xml:space="preserve"> Conforme al estudio efectuado lo Recurso de Apelación fue presentado dentro del plazo legal establecido para tal fin, en los términos del artículo 11 de la Ley Reguladora del Servicio Público de Transporte Remunerado de Personas en vehículos en la modalidad de taxi, Ley N°7969, del 28 de enero del 2000.</w:t>
      </w:r>
    </w:p>
    <w:p w:rsidR="00462336" w:rsidRDefault="00462336" w:rsidP="00462336">
      <w:pPr>
        <w:kinsoku w:val="0"/>
        <w:overflowPunct w:val="0"/>
        <w:autoSpaceDE/>
        <w:autoSpaceDN/>
        <w:adjustRightInd/>
        <w:spacing w:before="285" w:line="267" w:lineRule="exact"/>
        <w:ind w:left="144" w:right="72"/>
        <w:jc w:val="both"/>
        <w:textAlignment w:val="baseline"/>
        <w:rPr>
          <w:rFonts w:ascii="Verdana" w:hAnsi="Verdana" w:cs="Verdana"/>
          <w:spacing w:val="-3"/>
          <w:sz w:val="22"/>
          <w:szCs w:val="22"/>
          <w:lang w:val="es-ES" w:eastAsia="es-ES"/>
        </w:rPr>
      </w:pPr>
    </w:p>
    <w:p w:rsidR="00617B56" w:rsidRPr="00462336" w:rsidRDefault="00DD67AA" w:rsidP="00462336">
      <w:pPr>
        <w:numPr>
          <w:ilvl w:val="0"/>
          <w:numId w:val="1"/>
        </w:numPr>
        <w:kinsoku w:val="0"/>
        <w:overflowPunct w:val="0"/>
        <w:autoSpaceDE/>
        <w:autoSpaceDN/>
        <w:adjustRightInd/>
        <w:spacing w:before="4" w:line="266" w:lineRule="exact"/>
        <w:ind w:right="72"/>
        <w:jc w:val="both"/>
        <w:textAlignment w:val="baseline"/>
        <w:rPr>
          <w:rFonts w:ascii="Verdana" w:hAnsi="Verdana" w:cs="Verdana"/>
          <w:spacing w:val="-3"/>
          <w:sz w:val="22"/>
          <w:szCs w:val="22"/>
          <w:lang w:val="es-ES" w:eastAsia="es-ES"/>
        </w:rPr>
      </w:pPr>
      <w:r w:rsidRPr="00462336">
        <w:rPr>
          <w:rFonts w:ascii="Verdana" w:hAnsi="Verdana" w:cs="Verdana"/>
          <w:b/>
          <w:bCs/>
          <w:spacing w:val="-1"/>
          <w:sz w:val="22"/>
          <w:szCs w:val="22"/>
          <w:lang w:val="es-ES" w:eastAsia="es-ES"/>
        </w:rPr>
        <w:t xml:space="preserve">SOBRE LOS HECHOS PROBADOS: </w:t>
      </w:r>
      <w:r w:rsidRPr="00462336">
        <w:rPr>
          <w:rFonts w:ascii="Verdana" w:hAnsi="Verdana" w:cs="Verdana"/>
          <w:spacing w:val="-1"/>
          <w:sz w:val="22"/>
          <w:szCs w:val="22"/>
          <w:lang w:val="es-ES" w:eastAsia="es-ES"/>
        </w:rPr>
        <w:t>De importancia para la decisión de este asunto, se estiman como debidamente demostrados los siguientes hechos por</w:t>
      </w:r>
      <w:r w:rsidR="00462336" w:rsidRPr="00462336">
        <w:rPr>
          <w:rFonts w:ascii="Verdana" w:hAnsi="Verdana" w:cs="Verdana"/>
          <w:spacing w:val="-1"/>
          <w:sz w:val="22"/>
          <w:szCs w:val="22"/>
          <w:lang w:val="es-ES" w:eastAsia="es-ES"/>
        </w:rPr>
        <w:t xml:space="preserve"> </w:t>
      </w:r>
      <w:r w:rsidRPr="00462336">
        <w:rPr>
          <w:rFonts w:ascii="Verdana" w:hAnsi="Verdana" w:cs="Verdana"/>
          <w:spacing w:val="-3"/>
          <w:sz w:val="22"/>
          <w:szCs w:val="22"/>
          <w:lang w:val="es-ES" w:eastAsia="es-ES"/>
        </w:rPr>
        <w:t>cuanto así han sido acreditados:</w:t>
      </w:r>
      <w:r w:rsidR="00462336" w:rsidRPr="00462336">
        <w:rPr>
          <w:rFonts w:ascii="Verdana" w:hAnsi="Verdana" w:cs="Verdana"/>
          <w:b/>
          <w:bCs/>
          <w:spacing w:val="-3"/>
          <w:sz w:val="22"/>
          <w:szCs w:val="22"/>
          <w:lang w:val="es-ES" w:eastAsia="es-ES"/>
        </w:rPr>
        <w:t xml:space="preserve"> </w:t>
      </w:r>
      <w:r w:rsidRPr="00462336">
        <w:rPr>
          <w:rFonts w:ascii="Verdana" w:hAnsi="Verdana" w:cs="Verdana"/>
          <w:b/>
          <w:bCs/>
          <w:spacing w:val="-3"/>
          <w:sz w:val="22"/>
          <w:szCs w:val="22"/>
          <w:lang w:val="es-ES" w:eastAsia="es-ES"/>
        </w:rPr>
        <w:t>A</w:t>
      </w:r>
      <w:proofErr w:type="gramStart"/>
      <w:r w:rsidRPr="00462336">
        <w:rPr>
          <w:rFonts w:ascii="Verdana" w:hAnsi="Verdana" w:cs="Verdana"/>
          <w:b/>
          <w:bCs/>
          <w:spacing w:val="-3"/>
          <w:sz w:val="22"/>
          <w:szCs w:val="22"/>
          <w:lang w:val="es-ES" w:eastAsia="es-ES"/>
        </w:rPr>
        <w:t>).-</w:t>
      </w:r>
      <w:proofErr w:type="gramEnd"/>
      <w:r w:rsidRPr="00462336">
        <w:rPr>
          <w:rFonts w:ascii="Verdana" w:hAnsi="Verdana" w:cs="Verdana"/>
          <w:b/>
          <w:bCs/>
          <w:spacing w:val="-3"/>
          <w:sz w:val="22"/>
          <w:szCs w:val="22"/>
          <w:lang w:val="es-ES" w:eastAsia="es-ES"/>
        </w:rPr>
        <w:t xml:space="preserve"> : </w:t>
      </w:r>
      <w:r w:rsidRPr="00462336">
        <w:rPr>
          <w:rFonts w:ascii="Verdana" w:hAnsi="Verdana" w:cs="Verdana"/>
          <w:spacing w:val="-3"/>
          <w:sz w:val="22"/>
          <w:szCs w:val="22"/>
          <w:lang w:val="es-ES" w:eastAsia="es-ES"/>
        </w:rPr>
        <w:t>La JUNTA DIRECTIVA DEL CONSEJO DE</w:t>
      </w:r>
      <w:r w:rsidRPr="00462336">
        <w:rPr>
          <w:rFonts w:ascii="Verdana" w:hAnsi="Verdana" w:cs="Verdana"/>
          <w:spacing w:val="-3"/>
          <w:sz w:val="22"/>
          <w:szCs w:val="22"/>
          <w:lang w:val="es-ES" w:eastAsia="es-ES"/>
        </w:rPr>
        <w:br/>
        <w:t xml:space="preserve">TRANSPORTE PÚBLICO, mediante </w:t>
      </w:r>
      <w:r w:rsidRPr="00462336">
        <w:rPr>
          <w:rFonts w:ascii="Verdana" w:hAnsi="Verdana" w:cs="Verdana"/>
          <w:b/>
          <w:bCs/>
          <w:spacing w:val="-3"/>
          <w:sz w:val="22"/>
          <w:szCs w:val="22"/>
          <w:lang w:val="es-ES" w:eastAsia="es-ES"/>
        </w:rPr>
        <w:t xml:space="preserve">artículo 7.8.2 de la Sesión Ordinaria 13-2017 de 22 de marzo de 2017, </w:t>
      </w:r>
      <w:r w:rsidRPr="00462336">
        <w:rPr>
          <w:rFonts w:ascii="Verdana" w:hAnsi="Verdana" w:cs="Verdana"/>
          <w:spacing w:val="-3"/>
          <w:sz w:val="22"/>
          <w:szCs w:val="22"/>
          <w:lang w:val="es-ES" w:eastAsia="es-ES"/>
        </w:rPr>
        <w:t xml:space="preserve">acuerda lo siguiente: </w:t>
      </w:r>
      <w:r w:rsidRPr="00462336">
        <w:rPr>
          <w:rFonts w:ascii="Verdana" w:hAnsi="Verdana" w:cs="Verdana"/>
          <w:i/>
          <w:iCs/>
          <w:spacing w:val="-3"/>
          <w:sz w:val="22"/>
          <w:szCs w:val="22"/>
          <w:lang w:val="es-ES" w:eastAsia="es-ES"/>
        </w:rPr>
        <w:t xml:space="preserve">"(...)1. Aprobar, basados en los fundamentos, motivos y contenidos, desarrollados en los considerandos del oficio </w:t>
      </w:r>
      <w:r w:rsidRPr="00462336">
        <w:rPr>
          <w:rFonts w:ascii="Verdana" w:hAnsi="Verdana" w:cs="Verdana"/>
          <w:b/>
          <w:bCs/>
          <w:i/>
          <w:iCs/>
          <w:spacing w:val="-3"/>
          <w:sz w:val="22"/>
          <w:szCs w:val="22"/>
          <w:lang w:val="es-ES" w:eastAsia="es-ES"/>
        </w:rPr>
        <w:t xml:space="preserve">DAJ 2017-000701, </w:t>
      </w:r>
      <w:r w:rsidRPr="00462336">
        <w:rPr>
          <w:rFonts w:ascii="Verdana" w:hAnsi="Verdana" w:cs="Verdana"/>
          <w:i/>
          <w:iCs/>
          <w:spacing w:val="-3"/>
          <w:sz w:val="22"/>
          <w:szCs w:val="22"/>
          <w:lang w:val="es-ES" w:eastAsia="es-ES"/>
        </w:rPr>
        <w:t xml:space="preserve">todas las recomendaciones contenidas en el oficio dicho, el cual forma parte integral de este acuerdo. 2. Cancelar el derecho de concesión de la placa </w:t>
      </w:r>
      <w:r w:rsidRPr="00462336">
        <w:rPr>
          <w:rFonts w:ascii="Verdana" w:hAnsi="Verdana" w:cs="Verdana"/>
          <w:b/>
          <w:bCs/>
          <w:i/>
          <w:iCs/>
          <w:spacing w:val="-3"/>
          <w:sz w:val="22"/>
          <w:szCs w:val="22"/>
          <w:lang w:val="es-ES" w:eastAsia="es-ES"/>
        </w:rPr>
        <w:t>TSJ-</w:t>
      </w:r>
      <w:r w:rsidR="00462336">
        <w:rPr>
          <w:rFonts w:ascii="Verdana" w:hAnsi="Verdana" w:cs="Verdana"/>
          <w:b/>
          <w:bCs/>
          <w:i/>
          <w:iCs/>
          <w:spacing w:val="-3"/>
          <w:sz w:val="22"/>
          <w:szCs w:val="22"/>
          <w:lang w:val="es-ES" w:eastAsia="es-ES"/>
        </w:rPr>
        <w:t>XXXX</w:t>
      </w:r>
      <w:r w:rsidRPr="00462336">
        <w:rPr>
          <w:rFonts w:ascii="Verdana" w:hAnsi="Verdana" w:cs="Verdana"/>
          <w:b/>
          <w:bCs/>
          <w:i/>
          <w:iCs/>
          <w:spacing w:val="-3"/>
          <w:sz w:val="22"/>
          <w:szCs w:val="22"/>
          <w:lang w:val="es-ES" w:eastAsia="es-ES"/>
        </w:rPr>
        <w:t xml:space="preserve">, </w:t>
      </w:r>
      <w:r w:rsidRPr="00462336">
        <w:rPr>
          <w:rFonts w:ascii="Verdana" w:hAnsi="Verdana" w:cs="Verdana"/>
          <w:i/>
          <w:iCs/>
          <w:spacing w:val="-3"/>
          <w:sz w:val="22"/>
          <w:szCs w:val="22"/>
          <w:lang w:val="es-ES" w:eastAsia="es-ES"/>
        </w:rPr>
        <w:t xml:space="preserve">cuyo titular es el señor </w:t>
      </w:r>
      <w:r w:rsidRPr="00462336">
        <w:rPr>
          <w:rFonts w:ascii="Verdana" w:hAnsi="Verdana" w:cs="Verdana"/>
          <w:b/>
          <w:bCs/>
          <w:spacing w:val="-3"/>
          <w:sz w:val="22"/>
          <w:szCs w:val="22"/>
          <w:lang w:val="es-ES" w:eastAsia="es-ES"/>
        </w:rPr>
        <w:t>O</w:t>
      </w:r>
      <w:r w:rsidR="00462336">
        <w:rPr>
          <w:rFonts w:ascii="Verdana" w:hAnsi="Verdana" w:cs="Verdana"/>
          <w:b/>
          <w:bCs/>
          <w:spacing w:val="-3"/>
          <w:sz w:val="22"/>
          <w:szCs w:val="22"/>
          <w:lang w:val="es-ES" w:eastAsia="es-ES"/>
        </w:rPr>
        <w:t>.G.S.H.</w:t>
      </w:r>
      <w:r w:rsidRPr="00462336">
        <w:rPr>
          <w:rFonts w:ascii="Verdana" w:hAnsi="Verdana" w:cs="Verdana"/>
          <w:b/>
          <w:bCs/>
          <w:spacing w:val="-3"/>
          <w:sz w:val="22"/>
          <w:szCs w:val="22"/>
          <w:lang w:val="es-ES" w:eastAsia="es-ES"/>
        </w:rPr>
        <w:t xml:space="preserve">, </w:t>
      </w:r>
      <w:r w:rsidRPr="00462336">
        <w:rPr>
          <w:rFonts w:ascii="Verdana" w:hAnsi="Verdana" w:cs="Verdana"/>
          <w:i/>
          <w:iCs/>
          <w:spacing w:val="-3"/>
          <w:sz w:val="22"/>
          <w:szCs w:val="22"/>
          <w:lang w:val="es-ES" w:eastAsia="es-ES"/>
        </w:rPr>
        <w:t xml:space="preserve">en virtud de no haber realizado el cambio de unidad, antes del vencimiento del rango de antigüedad legalmente establecido y teniendo como consecuencia, el incumplimiento de la obligación de prestar el servicio personalmente por al menos 8 horas diarias, afectando con ello el principio de continuidad del servicio. (...)" </w:t>
      </w:r>
      <w:r w:rsidRPr="00462336">
        <w:rPr>
          <w:rFonts w:ascii="Verdana" w:hAnsi="Verdana" w:cs="Verdana"/>
          <w:spacing w:val="-3"/>
          <w:sz w:val="22"/>
          <w:szCs w:val="22"/>
          <w:lang w:val="es-ES" w:eastAsia="es-ES"/>
        </w:rPr>
        <w:t>(Léase folios del 47 al 51 del expediente administrativo)</w:t>
      </w:r>
    </w:p>
    <w:p w:rsidR="00617B56" w:rsidRDefault="00DD67AA">
      <w:pPr>
        <w:numPr>
          <w:ilvl w:val="0"/>
          <w:numId w:val="3"/>
        </w:numPr>
        <w:kinsoku w:val="0"/>
        <w:overflowPunct w:val="0"/>
        <w:autoSpaceDE/>
        <w:autoSpaceDN/>
        <w:adjustRightInd/>
        <w:spacing w:before="270" w:line="266"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señor </w:t>
      </w:r>
      <w:r>
        <w:rPr>
          <w:rFonts w:ascii="Verdana" w:hAnsi="Verdana" w:cs="Verdana"/>
          <w:b/>
          <w:bCs/>
          <w:sz w:val="22"/>
          <w:szCs w:val="22"/>
          <w:lang w:val="es-ES" w:eastAsia="es-ES"/>
        </w:rPr>
        <w:t>S</w:t>
      </w:r>
      <w:r w:rsidR="00462336">
        <w:rPr>
          <w:rFonts w:ascii="Verdana" w:hAnsi="Verdana" w:cs="Verdana"/>
          <w:b/>
          <w:bCs/>
          <w:sz w:val="22"/>
          <w:szCs w:val="22"/>
          <w:lang w:val="es-ES" w:eastAsia="es-ES"/>
        </w:rPr>
        <w:t>.H.</w:t>
      </w:r>
      <w:r>
        <w:rPr>
          <w:rFonts w:ascii="Verdana" w:hAnsi="Verdana" w:cs="Verdana"/>
          <w:b/>
          <w:bCs/>
          <w:sz w:val="22"/>
          <w:szCs w:val="22"/>
          <w:lang w:val="es-ES" w:eastAsia="es-ES"/>
        </w:rPr>
        <w:t xml:space="preserve">, </w:t>
      </w:r>
      <w:r>
        <w:rPr>
          <w:rFonts w:ascii="Verdana" w:hAnsi="Verdana" w:cs="Verdana"/>
          <w:sz w:val="22"/>
          <w:szCs w:val="22"/>
          <w:lang w:val="es-ES" w:eastAsia="es-ES"/>
        </w:rPr>
        <w:t>recurre el acuerdo indicado por considerar que el mismo no se ajusta al ordenamiento jurídico y actuó dentro de lo autorizado por la misma Administración. (Léanse folios del 10 al 14 del expediente administrativo)</w:t>
      </w:r>
    </w:p>
    <w:p w:rsidR="00617B56" w:rsidRDefault="00DD67AA">
      <w:pPr>
        <w:numPr>
          <w:ilvl w:val="0"/>
          <w:numId w:val="3"/>
        </w:numPr>
        <w:kinsoku w:val="0"/>
        <w:overflowPunct w:val="0"/>
        <w:autoSpaceDE/>
        <w:autoSpaceDN/>
        <w:adjustRightInd/>
        <w:spacing w:before="287" w:line="269"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7.6.2 de la Sesión Ordinaria 37-3017, </w:t>
      </w:r>
      <w:r>
        <w:rPr>
          <w:rFonts w:ascii="Verdana" w:hAnsi="Verdana" w:cs="Verdana"/>
          <w:sz w:val="22"/>
          <w:szCs w:val="22"/>
          <w:lang w:val="es-ES" w:eastAsia="es-ES"/>
        </w:rPr>
        <w:t xml:space="preserve">acoge el informe técnico de la Dirección de Asuntos Jurídicos el </w:t>
      </w:r>
      <w:r>
        <w:rPr>
          <w:rFonts w:ascii="Verdana" w:hAnsi="Verdana" w:cs="Verdana"/>
          <w:b/>
          <w:bCs/>
          <w:sz w:val="22"/>
          <w:szCs w:val="22"/>
          <w:lang w:val="es-ES" w:eastAsia="es-ES"/>
        </w:rPr>
        <w:t xml:space="preserve">DAJ-2017-002365 del 12 de setiembre de 2017 </w:t>
      </w:r>
      <w:r>
        <w:rPr>
          <w:rFonts w:ascii="Verdana" w:hAnsi="Verdana" w:cs="Verdana"/>
          <w:sz w:val="22"/>
          <w:szCs w:val="22"/>
          <w:lang w:val="es-ES" w:eastAsia="es-ES"/>
        </w:rPr>
        <w:t>y dispone declarar sin lugar el recurso de Revocatoria, por improcedente. (Léanse folios del 3 al 8 del expediente administrativo)</w:t>
      </w:r>
    </w:p>
    <w:p w:rsidR="00617B56" w:rsidRDefault="00DD67AA">
      <w:pPr>
        <w:numPr>
          <w:ilvl w:val="0"/>
          <w:numId w:val="3"/>
        </w:numPr>
        <w:kinsoku w:val="0"/>
        <w:overflowPunct w:val="0"/>
        <w:autoSpaceDE/>
        <w:autoSpaceDN/>
        <w:adjustRightInd/>
        <w:spacing w:before="263" w:line="266" w:lineRule="exact"/>
        <w:ind w:right="72"/>
        <w:jc w:val="both"/>
        <w:textAlignment w:val="baseline"/>
        <w:rPr>
          <w:rFonts w:ascii="Verdana" w:hAnsi="Verdana" w:cs="Verdana"/>
          <w:b/>
          <w:bCs/>
          <w:spacing w:val="-2"/>
          <w:sz w:val="22"/>
          <w:szCs w:val="22"/>
          <w:lang w:val="es-ES" w:eastAsia="es-ES"/>
        </w:rPr>
      </w:pPr>
      <w:r>
        <w:rPr>
          <w:rFonts w:ascii="Verdana" w:hAnsi="Verdana" w:cs="Verdana"/>
          <w:spacing w:val="-2"/>
          <w:sz w:val="22"/>
          <w:szCs w:val="22"/>
          <w:lang w:val="es-ES" w:eastAsia="es-ES"/>
        </w:rPr>
        <w:t xml:space="preserve">Se tiene fehacientemente demostrado, por así extraerse del expediente administrativo que la Junta Directiva del Consejo de transporte Público mediante </w:t>
      </w:r>
      <w:r>
        <w:rPr>
          <w:rFonts w:ascii="Verdana" w:hAnsi="Verdana" w:cs="Verdana"/>
          <w:b/>
          <w:bCs/>
          <w:spacing w:val="-2"/>
          <w:sz w:val="22"/>
          <w:szCs w:val="22"/>
          <w:lang w:val="es-ES" w:eastAsia="es-ES"/>
        </w:rPr>
        <w:t>acuerdo 8.2 de la Sesión Ordinaria 6-2016 de 10 de febrero de 2016</w:t>
      </w:r>
    </w:p>
    <w:p w:rsidR="00462336" w:rsidRDefault="00462336">
      <w:pPr>
        <w:kinsoku w:val="0"/>
        <w:overflowPunct w:val="0"/>
        <w:autoSpaceDE/>
        <w:autoSpaceDN/>
        <w:adjustRightInd/>
        <w:spacing w:before="13" w:line="270" w:lineRule="exact"/>
        <w:ind w:left="72" w:right="216"/>
        <w:jc w:val="both"/>
        <w:textAlignment w:val="baseline"/>
        <w:rPr>
          <w:rFonts w:ascii="Verdana" w:hAnsi="Verdana" w:cs="Verdana"/>
          <w:spacing w:val="-1"/>
          <w:sz w:val="22"/>
          <w:szCs w:val="22"/>
          <w:lang w:val="es-ES" w:eastAsia="es-ES"/>
        </w:rPr>
      </w:pPr>
    </w:p>
    <w:p w:rsidR="00462336" w:rsidRDefault="00462336">
      <w:pPr>
        <w:kinsoku w:val="0"/>
        <w:overflowPunct w:val="0"/>
        <w:autoSpaceDE/>
        <w:autoSpaceDN/>
        <w:adjustRightInd/>
        <w:spacing w:before="13" w:line="270" w:lineRule="exact"/>
        <w:ind w:left="72" w:right="216"/>
        <w:jc w:val="both"/>
        <w:textAlignment w:val="baseline"/>
        <w:rPr>
          <w:rFonts w:ascii="Verdana" w:hAnsi="Verdana" w:cs="Verdana"/>
          <w:spacing w:val="-1"/>
          <w:sz w:val="22"/>
          <w:szCs w:val="22"/>
          <w:lang w:val="es-ES" w:eastAsia="es-ES"/>
        </w:rPr>
      </w:pPr>
    </w:p>
    <w:p w:rsidR="00462336" w:rsidRDefault="00462336">
      <w:pPr>
        <w:kinsoku w:val="0"/>
        <w:overflowPunct w:val="0"/>
        <w:autoSpaceDE/>
        <w:autoSpaceDN/>
        <w:adjustRightInd/>
        <w:spacing w:before="13" w:line="270" w:lineRule="exact"/>
        <w:ind w:left="72" w:right="216"/>
        <w:jc w:val="both"/>
        <w:textAlignment w:val="baseline"/>
        <w:rPr>
          <w:rFonts w:ascii="Verdana" w:hAnsi="Verdana" w:cs="Verdana"/>
          <w:spacing w:val="-1"/>
          <w:sz w:val="22"/>
          <w:szCs w:val="22"/>
          <w:lang w:val="es-ES" w:eastAsia="es-ES"/>
        </w:rPr>
      </w:pPr>
    </w:p>
    <w:p w:rsidR="00462336" w:rsidRDefault="00462336">
      <w:pPr>
        <w:kinsoku w:val="0"/>
        <w:overflowPunct w:val="0"/>
        <w:autoSpaceDE/>
        <w:autoSpaceDN/>
        <w:adjustRightInd/>
        <w:spacing w:before="13" w:line="270" w:lineRule="exact"/>
        <w:ind w:left="72" w:right="216"/>
        <w:jc w:val="both"/>
        <w:textAlignment w:val="baseline"/>
        <w:rPr>
          <w:rFonts w:ascii="Verdana" w:hAnsi="Verdana" w:cs="Verdana"/>
          <w:spacing w:val="-1"/>
          <w:sz w:val="22"/>
          <w:szCs w:val="22"/>
          <w:lang w:val="es-ES" w:eastAsia="es-ES"/>
        </w:rPr>
      </w:pPr>
    </w:p>
    <w:p w:rsidR="00462336" w:rsidRDefault="00462336">
      <w:pPr>
        <w:kinsoku w:val="0"/>
        <w:overflowPunct w:val="0"/>
        <w:autoSpaceDE/>
        <w:autoSpaceDN/>
        <w:adjustRightInd/>
        <w:spacing w:before="13" w:line="270" w:lineRule="exact"/>
        <w:ind w:left="72" w:right="216"/>
        <w:jc w:val="both"/>
        <w:textAlignment w:val="baseline"/>
        <w:rPr>
          <w:rFonts w:ascii="Verdana" w:hAnsi="Verdana" w:cs="Verdana"/>
          <w:spacing w:val="-1"/>
          <w:sz w:val="22"/>
          <w:szCs w:val="22"/>
          <w:lang w:val="es-ES" w:eastAsia="es-ES"/>
        </w:rPr>
      </w:pPr>
    </w:p>
    <w:p w:rsidR="00617B56" w:rsidRDefault="00DD67AA">
      <w:pPr>
        <w:kinsoku w:val="0"/>
        <w:overflowPunct w:val="0"/>
        <w:autoSpaceDE/>
        <w:autoSpaceDN/>
        <w:adjustRightInd/>
        <w:spacing w:before="13" w:line="270" w:lineRule="exact"/>
        <w:ind w:left="72" w:right="216"/>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 xml:space="preserve">oficio del Departamento de Administración de Concesiones y Permisos el </w:t>
      </w:r>
      <w:r>
        <w:rPr>
          <w:rFonts w:ascii="Verdana" w:hAnsi="Verdana" w:cs="Verdana"/>
          <w:b/>
          <w:bCs/>
          <w:spacing w:val="-1"/>
          <w:sz w:val="22"/>
          <w:szCs w:val="22"/>
          <w:lang w:val="es-ES" w:eastAsia="es-ES"/>
        </w:rPr>
        <w:t xml:space="preserve">DACP </w:t>
      </w:r>
      <w:r>
        <w:rPr>
          <w:rFonts w:ascii="Verdana" w:hAnsi="Verdana" w:cs="Verdana"/>
          <w:b/>
          <w:bCs/>
          <w:spacing w:val="-1"/>
          <w:sz w:val="22"/>
          <w:szCs w:val="22"/>
          <w:lang w:val="es-ES" w:eastAsia="es-ES"/>
        </w:rPr>
        <w:lastRenderedPageBreak/>
        <w:t xml:space="preserve">2016-0510 </w:t>
      </w:r>
      <w:r>
        <w:rPr>
          <w:rFonts w:ascii="Verdana" w:hAnsi="Verdana" w:cs="Verdana"/>
          <w:spacing w:val="-1"/>
          <w:sz w:val="22"/>
          <w:szCs w:val="22"/>
          <w:lang w:val="es-ES" w:eastAsia="es-ES"/>
        </w:rPr>
        <w:t>y dispuso autorizar una prórroga para el cambio de unidades modelo 2000 hasta el último día hábil de junio de 2016, para aquellos concesionarios que hubieran incumplido con el plazo para hacerlo y que quisieran realizar dicho cambio, a pesar de aceptar las resultas de los procedimientos administrativos que se instaurarían por el incumplimiento indicado. (léanse folios del 96 al 101 del expediente administrativo)</w:t>
      </w:r>
    </w:p>
    <w:p w:rsidR="00617B56" w:rsidRDefault="00DD67AA">
      <w:pPr>
        <w:kinsoku w:val="0"/>
        <w:overflowPunct w:val="0"/>
        <w:autoSpaceDE/>
        <w:autoSpaceDN/>
        <w:adjustRightInd/>
        <w:spacing w:before="273" w:line="270" w:lineRule="exact"/>
        <w:ind w:left="72" w:right="216"/>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E</w:t>
      </w:r>
      <w:proofErr w:type="gramStart"/>
      <w:r>
        <w:rPr>
          <w:rFonts w:ascii="Verdana" w:hAnsi="Verdana" w:cs="Verdana"/>
          <w:b/>
          <w:bCs/>
          <w:sz w:val="22"/>
          <w:szCs w:val="22"/>
          <w:lang w:val="es-ES" w:eastAsia="es-ES"/>
        </w:rPr>
        <w:t>).-</w:t>
      </w:r>
      <w:proofErr w:type="gramEnd"/>
      <w:r>
        <w:rPr>
          <w:rFonts w:ascii="Verdana" w:hAnsi="Verdana" w:cs="Verdana"/>
          <w:b/>
          <w:bCs/>
          <w:sz w:val="22"/>
          <w:szCs w:val="22"/>
          <w:lang w:val="es-ES" w:eastAsia="es-ES"/>
        </w:rPr>
        <w:t xml:space="preserve"> </w:t>
      </w:r>
      <w:r>
        <w:rPr>
          <w:rFonts w:ascii="Verdana" w:hAnsi="Verdana" w:cs="Verdana"/>
          <w:sz w:val="22"/>
          <w:szCs w:val="22"/>
          <w:lang w:val="es-ES" w:eastAsia="es-ES"/>
        </w:rPr>
        <w:t>Se tiene por demostrado que el recurrente, al mes de marzo de 2016, no había solicitado el cambio de unidad modelo 2000 con la que, operaba su concesión. (léase folio 60 al 80 del expediente administrativo)</w:t>
      </w:r>
    </w:p>
    <w:p w:rsidR="00617B56" w:rsidRDefault="00DD67AA">
      <w:pPr>
        <w:numPr>
          <w:ilvl w:val="0"/>
          <w:numId w:val="4"/>
        </w:numPr>
        <w:kinsoku w:val="0"/>
        <w:overflowPunct w:val="0"/>
        <w:autoSpaceDE/>
        <w:autoSpaceDN/>
        <w:adjustRightInd/>
        <w:spacing w:before="274" w:line="267" w:lineRule="exact"/>
        <w:textAlignment w:val="baseline"/>
        <w:rPr>
          <w:rFonts w:ascii="Verdana" w:hAnsi="Verdana" w:cs="Verdana"/>
          <w:b/>
          <w:bCs/>
          <w:sz w:val="22"/>
          <w:szCs w:val="22"/>
          <w:lang w:val="es-ES" w:eastAsia="es-ES"/>
        </w:rPr>
      </w:pPr>
      <w:r>
        <w:rPr>
          <w:rFonts w:ascii="Verdana" w:hAnsi="Verdana" w:cs="Verdana"/>
          <w:b/>
          <w:bCs/>
          <w:sz w:val="22"/>
          <w:szCs w:val="22"/>
          <w:lang w:val="es-ES" w:eastAsia="es-ES"/>
        </w:rPr>
        <w:t>HECHOS NO PROBADOS:</w:t>
      </w:r>
    </w:p>
    <w:p w:rsidR="00617B56" w:rsidRDefault="00DD67AA">
      <w:pPr>
        <w:kinsoku w:val="0"/>
        <w:overflowPunct w:val="0"/>
        <w:autoSpaceDE/>
        <w:autoSpaceDN/>
        <w:adjustRightInd/>
        <w:spacing w:line="598" w:lineRule="exact"/>
        <w:ind w:left="72" w:right="2088"/>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Ninguno de importancia para la resolución del presente asunto. </w:t>
      </w:r>
      <w:r>
        <w:rPr>
          <w:rFonts w:ascii="Verdana" w:hAnsi="Verdana" w:cs="Verdana"/>
          <w:b/>
          <w:bCs/>
          <w:sz w:val="22"/>
          <w:szCs w:val="22"/>
          <w:lang w:val="es-ES" w:eastAsia="es-ES"/>
        </w:rPr>
        <w:t>5.- SOBRE EL FONDO</w:t>
      </w:r>
    </w:p>
    <w:p w:rsidR="00617B56" w:rsidRDefault="00DD67AA">
      <w:pPr>
        <w:kinsoku w:val="0"/>
        <w:overflowPunct w:val="0"/>
        <w:autoSpaceDE/>
        <w:autoSpaceDN/>
        <w:adjustRightInd/>
        <w:spacing w:before="261" w:line="270" w:lineRule="exact"/>
        <w:ind w:left="72" w:right="216"/>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OBJETO DEL PROCEDIMIENTO. </w:t>
      </w:r>
      <w:r>
        <w:rPr>
          <w:rFonts w:ascii="Verdana" w:hAnsi="Verdana" w:cs="Verdana"/>
          <w:sz w:val="22"/>
          <w:szCs w:val="22"/>
          <w:lang w:val="es-ES" w:eastAsia="es-ES"/>
        </w:rPr>
        <w:t xml:space="preserve">Determinar si existe ilegalidad del </w:t>
      </w:r>
      <w:r>
        <w:rPr>
          <w:rFonts w:ascii="Verdana" w:hAnsi="Verdana" w:cs="Verdana"/>
          <w:b/>
          <w:bCs/>
          <w:sz w:val="22"/>
          <w:szCs w:val="22"/>
          <w:lang w:val="es-ES" w:eastAsia="es-ES"/>
        </w:rPr>
        <w:t xml:space="preserve">artículo 7.8.2 de la Sesión Ordinaria 13-2017 de 22 de marzo de 2017, </w:t>
      </w:r>
      <w:r>
        <w:rPr>
          <w:rFonts w:ascii="Verdana" w:hAnsi="Verdana" w:cs="Verdana"/>
          <w:sz w:val="22"/>
          <w:szCs w:val="22"/>
          <w:lang w:val="es-ES" w:eastAsia="es-ES"/>
        </w:rPr>
        <w:t xml:space="preserve">del Consejo de Transporte Público y de ser así, el consecuente restablecimiento de la concesión a </w:t>
      </w:r>
      <w:r>
        <w:rPr>
          <w:rFonts w:ascii="Verdana" w:hAnsi="Verdana" w:cs="Verdana"/>
          <w:b/>
          <w:bCs/>
          <w:sz w:val="22"/>
          <w:szCs w:val="22"/>
          <w:lang w:val="es-ES" w:eastAsia="es-ES"/>
        </w:rPr>
        <w:t>O</w:t>
      </w:r>
      <w:r w:rsidR="00462336">
        <w:rPr>
          <w:rFonts w:ascii="Verdana" w:hAnsi="Verdana" w:cs="Verdana"/>
          <w:b/>
          <w:bCs/>
          <w:sz w:val="22"/>
          <w:szCs w:val="22"/>
          <w:lang w:val="es-ES" w:eastAsia="es-ES"/>
        </w:rPr>
        <w:t>.G.S.H.</w:t>
      </w:r>
      <w:r>
        <w:rPr>
          <w:rFonts w:ascii="Verdana" w:hAnsi="Verdana" w:cs="Verdana"/>
          <w:b/>
          <w:bCs/>
          <w:sz w:val="22"/>
          <w:szCs w:val="22"/>
          <w:lang w:val="es-ES" w:eastAsia="es-ES"/>
        </w:rPr>
        <w:t xml:space="preserve">, cédula de identidad número </w:t>
      </w:r>
      <w:r w:rsidR="00462336">
        <w:rPr>
          <w:rFonts w:ascii="Verdana" w:hAnsi="Verdana" w:cs="Verdana"/>
          <w:b/>
          <w:bCs/>
          <w:sz w:val="22"/>
          <w:szCs w:val="22"/>
          <w:lang w:val="es-ES" w:eastAsia="es-ES"/>
        </w:rPr>
        <w:t>..</w:t>
      </w:r>
      <w:r>
        <w:rPr>
          <w:rFonts w:ascii="Verdana" w:hAnsi="Verdana" w:cs="Verdana"/>
          <w:b/>
          <w:bCs/>
          <w:sz w:val="22"/>
          <w:szCs w:val="22"/>
          <w:lang w:val="es-ES" w:eastAsia="es-ES"/>
        </w:rPr>
        <w:t>.</w:t>
      </w:r>
    </w:p>
    <w:p w:rsidR="00617B56" w:rsidRDefault="00DD67AA">
      <w:pPr>
        <w:kinsoku w:val="0"/>
        <w:overflowPunct w:val="0"/>
        <w:autoSpaceDE/>
        <w:autoSpaceDN/>
        <w:adjustRightInd/>
        <w:spacing w:before="251" w:line="280" w:lineRule="exact"/>
        <w:ind w:lef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 LO ACTUADO POR EL CONSEJO DE TRANSPORTE PÚBLICO</w:t>
      </w:r>
    </w:p>
    <w:p w:rsidR="00617B56" w:rsidRDefault="00DD67AA">
      <w:pPr>
        <w:kinsoku w:val="0"/>
        <w:overflowPunct w:val="0"/>
        <w:autoSpaceDE/>
        <w:autoSpaceDN/>
        <w:adjustRightInd/>
        <w:spacing w:before="270" w:after="518" w:line="268" w:lineRule="exact"/>
        <w:ind w:left="72" w:right="216"/>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 xml:space="preserve">La Junta Directiva del Consejo de transporte Público mediante </w:t>
      </w:r>
      <w:r>
        <w:rPr>
          <w:rFonts w:ascii="Verdana" w:hAnsi="Verdana" w:cs="Verdana"/>
          <w:b/>
          <w:bCs/>
          <w:spacing w:val="-1"/>
          <w:sz w:val="22"/>
          <w:szCs w:val="22"/>
          <w:lang w:val="es-ES" w:eastAsia="es-ES"/>
        </w:rPr>
        <w:t xml:space="preserve">acuerdo 8.2 de la Sesión Ordinaria 6-2016 de 10 de febrero de 2016 </w:t>
      </w:r>
      <w:r>
        <w:rPr>
          <w:rFonts w:ascii="Verdana" w:hAnsi="Verdana" w:cs="Verdana"/>
          <w:spacing w:val="-1"/>
          <w:sz w:val="22"/>
          <w:szCs w:val="22"/>
          <w:lang w:val="es-ES" w:eastAsia="es-ES"/>
        </w:rPr>
        <w:t xml:space="preserve">acoge el oficio </w:t>
      </w:r>
      <w:r>
        <w:rPr>
          <w:rFonts w:ascii="Verdana" w:hAnsi="Verdana" w:cs="Verdana"/>
          <w:b/>
          <w:bCs/>
          <w:spacing w:val="-1"/>
          <w:sz w:val="22"/>
          <w:szCs w:val="22"/>
          <w:lang w:val="es-ES" w:eastAsia="es-ES"/>
        </w:rPr>
        <w:t>2016</w:t>
      </w:r>
      <w:r>
        <w:rPr>
          <w:rFonts w:ascii="Verdana" w:hAnsi="Verdana" w:cs="Verdana"/>
          <w:b/>
          <w:bCs/>
          <w:spacing w:val="-1"/>
          <w:sz w:val="22"/>
          <w:szCs w:val="22"/>
          <w:lang w:val="es-ES" w:eastAsia="es-ES"/>
        </w:rPr>
        <w:softHyphen/>
        <w:t xml:space="preserve">000430 </w:t>
      </w:r>
      <w:r>
        <w:rPr>
          <w:rFonts w:ascii="Verdana" w:hAnsi="Verdana" w:cs="Verdana"/>
          <w:spacing w:val="-1"/>
          <w:sz w:val="22"/>
          <w:szCs w:val="22"/>
          <w:lang w:val="es-ES" w:eastAsia="es-ES"/>
        </w:rPr>
        <w:t xml:space="preserve">de la Dirección de Asuntos Jurídicos, referente al oficio del Departamento de Administración de Concesiones y Permisos el </w:t>
      </w:r>
      <w:r>
        <w:rPr>
          <w:rFonts w:ascii="Verdana" w:hAnsi="Verdana" w:cs="Verdana"/>
          <w:b/>
          <w:bCs/>
          <w:spacing w:val="-1"/>
          <w:sz w:val="22"/>
          <w:szCs w:val="22"/>
          <w:lang w:val="es-ES" w:eastAsia="es-ES"/>
        </w:rPr>
        <w:t>DACP 2016</w:t>
      </w:r>
      <w:r>
        <w:rPr>
          <w:rFonts w:ascii="Verdana" w:hAnsi="Verdana" w:cs="Verdana"/>
          <w:b/>
          <w:bCs/>
          <w:spacing w:val="-1"/>
          <w:sz w:val="22"/>
          <w:szCs w:val="22"/>
          <w:lang w:val="es-ES" w:eastAsia="es-ES"/>
        </w:rPr>
        <w:softHyphen/>
        <w:t xml:space="preserve">0510 </w:t>
      </w:r>
      <w:r>
        <w:rPr>
          <w:rFonts w:ascii="Verdana" w:hAnsi="Verdana" w:cs="Verdana"/>
          <w:spacing w:val="-1"/>
          <w:sz w:val="22"/>
          <w:szCs w:val="22"/>
          <w:lang w:val="es-ES" w:eastAsia="es-ES"/>
        </w:rPr>
        <w:t xml:space="preserve">y dispone en su parte dispositiva </w:t>
      </w:r>
      <w:r>
        <w:rPr>
          <w:rFonts w:ascii="Verdana" w:hAnsi="Verdana" w:cs="Verdana"/>
          <w:i/>
          <w:iCs/>
          <w:spacing w:val="-1"/>
          <w:sz w:val="22"/>
          <w:szCs w:val="22"/>
          <w:lang w:val="es-ES" w:eastAsia="es-ES"/>
        </w:rPr>
        <w:t>"2. Iniciar Procedimiento Administrativo en contra de los 163 concesionarios de taxi (detallados en el cuadro que de seguido se inserta), que presentaron solicitud de cambio de unidad (modelo 2000) en fecha posterior al 14 de enero del 2016, tomando como fundamento, motivos y contenidos desarrollados en el análisis realizado en el oficio DAJ 2016</w:t>
      </w:r>
      <w:r>
        <w:rPr>
          <w:rFonts w:ascii="Verdana" w:hAnsi="Verdana" w:cs="Verdana"/>
          <w:i/>
          <w:iCs/>
          <w:spacing w:val="-1"/>
          <w:sz w:val="22"/>
          <w:szCs w:val="22"/>
          <w:lang w:val="es-ES" w:eastAsia="es-ES"/>
        </w:rPr>
        <w:softHyphen/>
        <w:t xml:space="preserve">000430; acuerdo que conlleva efectos individuales para cada uno de los concesionarios inmersos en la lista que de seguido se inserta, y se comisiona a la Dirección de Asuntos Jurídicos para la ejecución de los procedimientos aquí ordenados (...) 3. Informar a los 163 concesionarios de taxi que se encuentran contenidos en la lista inserta en el por tanto anterior, que en estos casos, puede concretarse el cambio de unidad, previo cumplimiento de requisitos dispuestos para tales efectos, situación que deberá determinar el Departamento de Administración de Concesiones y Permisos, y previo a que el concesionario señale expresamente por escrito y conste en el expediente, estar de acuerdo con el cambio de unidad, indistintamente de las resultas o hallazgos que se configuren finalmente en el procedimiento administrativo, para lo cual, deberá completar la boleta que se adjunta en el por tanto siguiente </w:t>
      </w:r>
      <w:r>
        <w:rPr>
          <w:rFonts w:ascii="Verdana" w:hAnsi="Verdana" w:cs="Verdana"/>
          <w:spacing w:val="-1"/>
          <w:sz w:val="22"/>
          <w:szCs w:val="22"/>
          <w:lang w:val="es-ES" w:eastAsia="es-ES"/>
        </w:rPr>
        <w:t>(...)4. Aprobar la</w:t>
      </w:r>
    </w:p>
    <w:p w:rsidR="00617B56" w:rsidRDefault="00617B56">
      <w:pPr>
        <w:widowControl/>
        <w:rPr>
          <w:sz w:val="24"/>
          <w:szCs w:val="24"/>
        </w:rPr>
        <w:sectPr w:rsidR="00617B56">
          <w:pgSz w:w="12322" w:h="15821"/>
          <w:pgMar w:top="1280" w:right="1469" w:bottom="305" w:left="1604" w:header="720" w:footer="720" w:gutter="0"/>
          <w:cols w:space="720"/>
          <w:noEndnote/>
        </w:sectPr>
      </w:pPr>
    </w:p>
    <w:p w:rsidR="00617B56" w:rsidRDefault="00DD67AA">
      <w:pPr>
        <w:kinsoku w:val="0"/>
        <w:overflowPunct w:val="0"/>
        <w:autoSpaceDE/>
        <w:autoSpaceDN/>
        <w:adjustRightInd/>
        <w:spacing w:before="23" w:line="271" w:lineRule="exact"/>
        <w:ind w:left="144" w:right="144"/>
        <w:jc w:val="both"/>
        <w:textAlignment w:val="baseline"/>
        <w:rPr>
          <w:rFonts w:ascii="Verdana" w:hAnsi="Verdana" w:cs="Verdana"/>
          <w:b/>
          <w:bCs/>
          <w:spacing w:val="15"/>
          <w:sz w:val="22"/>
          <w:szCs w:val="22"/>
          <w:lang w:val="es-ES" w:eastAsia="es-ES"/>
        </w:rPr>
      </w:pPr>
      <w:r>
        <w:rPr>
          <w:rFonts w:ascii="Verdana" w:hAnsi="Verdana" w:cs="Verdana"/>
          <w:spacing w:val="15"/>
          <w:sz w:val="22"/>
          <w:szCs w:val="22"/>
          <w:lang w:val="es-ES" w:eastAsia="es-ES"/>
        </w:rPr>
        <w:lastRenderedPageBreak/>
        <w:t xml:space="preserve">boleta que de seguido se inserta, en la cual el concesionario contenido en el marco fáctico expuesto en el informe DAJ 2016-000430, autoriza a la Administración, para que concrete el cambio de unidad (modelo 2000): </w:t>
      </w:r>
      <w:r>
        <w:rPr>
          <w:rFonts w:ascii="Verdana" w:hAnsi="Verdana" w:cs="Verdana"/>
          <w:b/>
          <w:bCs/>
          <w:spacing w:val="15"/>
          <w:sz w:val="22"/>
          <w:szCs w:val="22"/>
          <w:lang w:val="es-ES" w:eastAsia="es-ES"/>
        </w:rPr>
        <w:t>Solicitud de Cambio de unidad. El o la suscrito (a),</w:t>
      </w:r>
    </w:p>
    <w:p w:rsidR="00617B56" w:rsidRDefault="00DD67AA">
      <w:pPr>
        <w:tabs>
          <w:tab w:val="right" w:leader="underscore" w:pos="9072"/>
        </w:tabs>
        <w:kinsoku w:val="0"/>
        <w:overflowPunct w:val="0"/>
        <w:autoSpaceDE/>
        <w:autoSpaceDN/>
        <w:adjustRightInd/>
        <w:spacing w:before="265" w:line="268" w:lineRule="exact"/>
        <w:ind w:left="144"/>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cédula</w:t>
      </w:r>
      <w:r>
        <w:rPr>
          <w:rFonts w:ascii="Verdana" w:hAnsi="Verdana" w:cs="Verdana"/>
          <w:b/>
          <w:bCs/>
          <w:sz w:val="22"/>
          <w:szCs w:val="22"/>
          <w:lang w:val="es-ES" w:eastAsia="es-ES"/>
        </w:rPr>
        <w:tab/>
        <w:t>, en mi condición de concesionario (a) del</w:t>
      </w:r>
    </w:p>
    <w:p w:rsidR="00617B56" w:rsidRDefault="00DD67AA">
      <w:pPr>
        <w:tabs>
          <w:tab w:val="right" w:leader="underscore" w:pos="9072"/>
        </w:tabs>
        <w:kinsoku w:val="0"/>
        <w:overflowPunct w:val="0"/>
        <w:autoSpaceDE/>
        <w:autoSpaceDN/>
        <w:adjustRightInd/>
        <w:spacing w:line="264" w:lineRule="exact"/>
        <w:ind w:left="144"/>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taxi placa</w:t>
      </w:r>
      <w:r>
        <w:rPr>
          <w:rFonts w:ascii="Verdana" w:hAnsi="Verdana" w:cs="Verdana"/>
          <w:b/>
          <w:bCs/>
          <w:sz w:val="22"/>
          <w:szCs w:val="22"/>
          <w:lang w:val="es-ES" w:eastAsia="es-ES"/>
        </w:rPr>
        <w:tab/>
        <w:t>, solicito expresamente a la</w:t>
      </w:r>
    </w:p>
    <w:p w:rsidR="00617B56" w:rsidRDefault="00DD67AA">
      <w:pPr>
        <w:kinsoku w:val="0"/>
        <w:overflowPunct w:val="0"/>
        <w:autoSpaceDE/>
        <w:autoSpaceDN/>
        <w:adjustRightInd/>
        <w:spacing w:before="9" w:line="268" w:lineRule="exact"/>
        <w:ind w:left="144" w:right="144"/>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Administración, para que concrete y autorice la gestión de cambio de unidad modelo 2000, a pesar de que la misma fue presentada fuera del plazo dispuesto, y teniendo pleno conocimiento del establecimiento de un procedimiento administrativo por dicha causal en mi contra, motivo por el cual, eximo de toda responsabilidad civil, contractual y</w:t>
      </w:r>
    </w:p>
    <w:p w:rsidR="00617B56" w:rsidRDefault="00DD67AA">
      <w:pPr>
        <w:tabs>
          <w:tab w:val="right" w:pos="9072"/>
        </w:tabs>
        <w:kinsoku w:val="0"/>
        <w:overflowPunct w:val="0"/>
        <w:autoSpaceDE/>
        <w:autoSpaceDN/>
        <w:adjustRightInd/>
        <w:spacing w:before="14" w:line="266" w:lineRule="exact"/>
        <w:ind w:left="144"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administrativa por el cambio de unidad que se realice. Firma:</w:t>
      </w:r>
      <w:r>
        <w:rPr>
          <w:rFonts w:ascii="Verdana" w:hAnsi="Verdana" w:cs="Verdana"/>
          <w:b/>
          <w:bCs/>
          <w:sz w:val="22"/>
          <w:szCs w:val="22"/>
          <w:lang w:val="es-ES" w:eastAsia="es-ES"/>
        </w:rPr>
        <w:tab/>
        <w:t>Fecha:</w:t>
      </w:r>
      <w:r>
        <w:rPr>
          <w:rFonts w:ascii="Verdana" w:hAnsi="Verdana" w:cs="Verdana"/>
          <w:b/>
          <w:bCs/>
          <w:sz w:val="22"/>
          <w:szCs w:val="22"/>
          <w:lang w:val="es-ES" w:eastAsia="es-ES"/>
        </w:rPr>
        <w:br/>
      </w:r>
      <w:r>
        <w:rPr>
          <w:rFonts w:ascii="Verdana" w:hAnsi="Verdana" w:cs="Verdana"/>
          <w:i/>
          <w:iCs/>
          <w:sz w:val="22"/>
          <w:szCs w:val="22"/>
          <w:lang w:val="es-ES" w:eastAsia="es-ES"/>
        </w:rPr>
        <w:t xml:space="preserve">5. Disponer como plazo para aquellas solicitudes de cambio de unidad hasta el </w:t>
      </w:r>
      <w:r>
        <w:rPr>
          <w:rFonts w:ascii="Verdana" w:hAnsi="Verdana" w:cs="Verdana"/>
          <w:b/>
          <w:bCs/>
          <w:i/>
          <w:iCs/>
          <w:sz w:val="22"/>
          <w:szCs w:val="22"/>
          <w:lang w:val="es-ES" w:eastAsia="es-ES"/>
        </w:rPr>
        <w:t xml:space="preserve">último día hábil del mes de junio del 2016, </w:t>
      </w:r>
      <w:r>
        <w:rPr>
          <w:rFonts w:ascii="Verdana" w:hAnsi="Verdana" w:cs="Verdana"/>
          <w:i/>
          <w:iCs/>
          <w:sz w:val="22"/>
          <w:szCs w:val="22"/>
          <w:lang w:val="es-ES" w:eastAsia="es-ES"/>
        </w:rPr>
        <w:t xml:space="preserve">como fecha máxima en que se dará el tratamiento descrito en el oficio </w:t>
      </w:r>
      <w:r>
        <w:rPr>
          <w:rFonts w:ascii="Verdana" w:hAnsi="Verdana" w:cs="Verdana"/>
          <w:b/>
          <w:bCs/>
          <w:i/>
          <w:iCs/>
          <w:sz w:val="22"/>
          <w:szCs w:val="22"/>
          <w:lang w:val="es-ES" w:eastAsia="es-ES"/>
        </w:rPr>
        <w:t xml:space="preserve">DA) 2016000430, </w:t>
      </w:r>
      <w:r>
        <w:rPr>
          <w:rFonts w:ascii="Verdana" w:hAnsi="Verdana" w:cs="Verdana"/>
          <w:i/>
          <w:iCs/>
          <w:sz w:val="22"/>
          <w:szCs w:val="22"/>
          <w:lang w:val="es-ES" w:eastAsia="es-ES"/>
        </w:rPr>
        <w:t xml:space="preserve">a las solicitudes de cambio de unidad modelo 2000 (...). </w:t>
      </w:r>
      <w:r>
        <w:rPr>
          <w:rFonts w:ascii="Verdana" w:hAnsi="Verdana" w:cs="Verdana"/>
          <w:sz w:val="22"/>
          <w:szCs w:val="22"/>
          <w:lang w:val="es-ES" w:eastAsia="es-ES"/>
        </w:rPr>
        <w:t>(el resaltado en negrita es nuestro)</w:t>
      </w:r>
    </w:p>
    <w:p w:rsidR="00617B56" w:rsidRDefault="00DD67AA">
      <w:pPr>
        <w:kinsoku w:val="0"/>
        <w:overflowPunct w:val="0"/>
        <w:autoSpaceDE/>
        <w:autoSpaceDN/>
        <w:adjustRightInd/>
        <w:spacing w:before="257" w:line="266" w:lineRule="exact"/>
        <w:ind w:left="144" w:right="144"/>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 xml:space="preserve">La Junta Directiva del Consejo de transporte Público mediante </w:t>
      </w:r>
      <w:r>
        <w:rPr>
          <w:rFonts w:ascii="Verdana" w:hAnsi="Verdana" w:cs="Verdana"/>
          <w:b/>
          <w:bCs/>
          <w:spacing w:val="-1"/>
          <w:sz w:val="22"/>
          <w:szCs w:val="22"/>
          <w:lang w:val="es-ES" w:eastAsia="es-ES"/>
        </w:rPr>
        <w:t xml:space="preserve">acuerdo 8.1 de la Sesión Ordinaria 10-2016 de 3 de marzo de 2016 </w:t>
      </w:r>
      <w:r>
        <w:rPr>
          <w:rFonts w:ascii="Verdana" w:hAnsi="Verdana" w:cs="Verdana"/>
          <w:spacing w:val="-1"/>
          <w:sz w:val="22"/>
          <w:szCs w:val="22"/>
          <w:lang w:val="es-ES" w:eastAsia="es-ES"/>
        </w:rPr>
        <w:t xml:space="preserve">acoge el oficio </w:t>
      </w:r>
      <w:r>
        <w:rPr>
          <w:rFonts w:ascii="Verdana" w:hAnsi="Verdana" w:cs="Verdana"/>
          <w:b/>
          <w:bCs/>
          <w:spacing w:val="-1"/>
          <w:sz w:val="22"/>
          <w:szCs w:val="22"/>
          <w:lang w:val="es-ES" w:eastAsia="es-ES"/>
        </w:rPr>
        <w:t>2016</w:t>
      </w:r>
      <w:r>
        <w:rPr>
          <w:rFonts w:ascii="Verdana" w:hAnsi="Verdana" w:cs="Verdana"/>
          <w:b/>
          <w:bCs/>
          <w:spacing w:val="-1"/>
          <w:sz w:val="22"/>
          <w:szCs w:val="22"/>
          <w:lang w:val="es-ES" w:eastAsia="es-ES"/>
        </w:rPr>
        <w:softHyphen/>
        <w:t xml:space="preserve">000722 </w:t>
      </w:r>
      <w:r>
        <w:rPr>
          <w:rFonts w:ascii="Verdana" w:hAnsi="Verdana" w:cs="Verdana"/>
          <w:spacing w:val="-1"/>
          <w:sz w:val="22"/>
          <w:szCs w:val="22"/>
          <w:lang w:val="es-ES" w:eastAsia="es-ES"/>
        </w:rPr>
        <w:t xml:space="preserve">de la Dirección de Asuntos Jurídicos y dispone la apertura de un procedimiento administrativo de caducidad entre otros al recurrente </w:t>
      </w:r>
      <w:r>
        <w:rPr>
          <w:rFonts w:ascii="Verdana" w:hAnsi="Verdana" w:cs="Verdana"/>
          <w:b/>
          <w:bCs/>
          <w:spacing w:val="-1"/>
          <w:sz w:val="22"/>
          <w:szCs w:val="22"/>
          <w:lang w:val="es-ES" w:eastAsia="es-ES"/>
        </w:rPr>
        <w:t xml:space="preserve">placa </w:t>
      </w:r>
      <w:r>
        <w:rPr>
          <w:rFonts w:ascii="Verdana" w:hAnsi="Verdana" w:cs="Verdana"/>
          <w:b/>
          <w:bCs/>
          <w:i/>
          <w:iCs/>
          <w:spacing w:val="-1"/>
          <w:sz w:val="22"/>
          <w:szCs w:val="22"/>
          <w:lang w:val="es-ES" w:eastAsia="es-ES"/>
        </w:rPr>
        <w:t>TSJ-</w:t>
      </w:r>
      <w:r w:rsidR="00462336">
        <w:rPr>
          <w:rFonts w:ascii="Verdana" w:hAnsi="Verdana" w:cs="Verdana"/>
          <w:b/>
          <w:bCs/>
          <w:i/>
          <w:iCs/>
          <w:spacing w:val="-1"/>
          <w:sz w:val="22"/>
          <w:szCs w:val="22"/>
          <w:lang w:val="es-ES" w:eastAsia="es-ES"/>
        </w:rPr>
        <w:t>XXXX</w:t>
      </w:r>
      <w:r>
        <w:rPr>
          <w:rFonts w:ascii="Verdana" w:hAnsi="Verdana" w:cs="Verdana"/>
          <w:b/>
          <w:bCs/>
          <w:i/>
          <w:iCs/>
          <w:spacing w:val="-1"/>
          <w:sz w:val="22"/>
          <w:szCs w:val="22"/>
          <w:lang w:val="es-ES" w:eastAsia="es-ES"/>
        </w:rPr>
        <w:t xml:space="preserve">, </w:t>
      </w:r>
      <w:r>
        <w:rPr>
          <w:rFonts w:ascii="Verdana" w:hAnsi="Verdana" w:cs="Verdana"/>
          <w:spacing w:val="-1"/>
          <w:sz w:val="22"/>
          <w:szCs w:val="22"/>
          <w:lang w:val="es-ES" w:eastAsia="es-ES"/>
        </w:rPr>
        <w:t>por no tramitar el cambio de unidad una vez vencida la vida útil de este.</w:t>
      </w:r>
    </w:p>
    <w:p w:rsidR="00617B56" w:rsidRDefault="00DD67AA">
      <w:pPr>
        <w:kinsoku w:val="0"/>
        <w:overflowPunct w:val="0"/>
        <w:autoSpaceDE/>
        <w:autoSpaceDN/>
        <w:adjustRightInd/>
        <w:spacing w:before="293" w:line="265" w:lineRule="exact"/>
        <w:ind w:left="144" w:right="144"/>
        <w:jc w:val="both"/>
        <w:textAlignment w:val="baseline"/>
        <w:rPr>
          <w:rFonts w:ascii="Verdana" w:hAnsi="Verdana" w:cs="Verdana"/>
          <w:i/>
          <w:iCs/>
          <w:spacing w:val="-4"/>
          <w:sz w:val="22"/>
          <w:szCs w:val="22"/>
          <w:lang w:val="es-ES" w:eastAsia="es-ES"/>
        </w:rPr>
      </w:pPr>
      <w:r>
        <w:rPr>
          <w:rFonts w:ascii="Verdana" w:hAnsi="Verdana" w:cs="Verdana"/>
          <w:spacing w:val="-4"/>
          <w:sz w:val="22"/>
          <w:szCs w:val="22"/>
          <w:lang w:val="es-ES" w:eastAsia="es-ES"/>
        </w:rPr>
        <w:t xml:space="preserve">La JUNTA DIRECTIVA DEL CONSEJO DE TRANSPORTE PÚBLICO, mediante </w:t>
      </w:r>
      <w:r>
        <w:rPr>
          <w:rFonts w:ascii="Verdana" w:hAnsi="Verdana" w:cs="Verdana"/>
          <w:b/>
          <w:bCs/>
          <w:spacing w:val="-4"/>
          <w:sz w:val="22"/>
          <w:szCs w:val="22"/>
          <w:lang w:val="es-ES" w:eastAsia="es-ES"/>
        </w:rPr>
        <w:t xml:space="preserve">artículo 7.8.2 de la Sesión Ordinaria 13-2017 de 22 de marzo de 2017, </w:t>
      </w:r>
      <w:r>
        <w:rPr>
          <w:rFonts w:ascii="Verdana" w:hAnsi="Verdana" w:cs="Verdana"/>
          <w:spacing w:val="-4"/>
          <w:sz w:val="22"/>
          <w:szCs w:val="22"/>
          <w:lang w:val="es-ES" w:eastAsia="es-ES"/>
        </w:rPr>
        <w:t xml:space="preserve">acuerda lo siguiente: </w:t>
      </w:r>
      <w:r>
        <w:rPr>
          <w:rFonts w:ascii="Verdana" w:hAnsi="Verdana" w:cs="Verdana"/>
          <w:i/>
          <w:iCs/>
          <w:spacing w:val="-4"/>
          <w:sz w:val="22"/>
          <w:szCs w:val="22"/>
          <w:lang w:val="es-ES" w:eastAsia="es-ES"/>
        </w:rPr>
        <w:t xml:space="preserve">"(...)1. Aprobar, basados en los fundamentos, motivos y contenidos, desarrollados en los considerandos del oficio </w:t>
      </w:r>
      <w:r>
        <w:rPr>
          <w:rFonts w:ascii="Verdana" w:hAnsi="Verdana" w:cs="Verdana"/>
          <w:b/>
          <w:bCs/>
          <w:i/>
          <w:iCs/>
          <w:spacing w:val="-4"/>
          <w:sz w:val="22"/>
          <w:szCs w:val="22"/>
          <w:lang w:val="es-ES" w:eastAsia="es-ES"/>
        </w:rPr>
        <w:t>DA</w:t>
      </w:r>
      <w:r w:rsidR="00462336">
        <w:rPr>
          <w:rFonts w:ascii="Verdana" w:hAnsi="Verdana" w:cs="Verdana"/>
          <w:b/>
          <w:bCs/>
          <w:i/>
          <w:iCs/>
          <w:spacing w:val="-4"/>
          <w:sz w:val="22"/>
          <w:szCs w:val="22"/>
          <w:lang w:val="es-ES" w:eastAsia="es-ES"/>
        </w:rPr>
        <w:t>J</w:t>
      </w:r>
      <w:r>
        <w:rPr>
          <w:rFonts w:ascii="Verdana" w:hAnsi="Verdana" w:cs="Verdana"/>
          <w:b/>
          <w:bCs/>
          <w:i/>
          <w:iCs/>
          <w:spacing w:val="-4"/>
          <w:sz w:val="22"/>
          <w:szCs w:val="22"/>
          <w:lang w:val="es-ES" w:eastAsia="es-ES"/>
        </w:rPr>
        <w:t xml:space="preserve"> 2017-000701, </w:t>
      </w:r>
      <w:r>
        <w:rPr>
          <w:rFonts w:ascii="Verdana" w:hAnsi="Verdana" w:cs="Verdana"/>
          <w:i/>
          <w:iCs/>
          <w:spacing w:val="-4"/>
          <w:sz w:val="22"/>
          <w:szCs w:val="22"/>
          <w:lang w:val="es-ES" w:eastAsia="es-ES"/>
        </w:rPr>
        <w:t xml:space="preserve">todas las recomendaciones contenidas en el oficio dicho, el cual forma parte integral de este acuerdo. 2. Cancelar el derecho de concesión de la placa </w:t>
      </w:r>
      <w:r>
        <w:rPr>
          <w:rFonts w:ascii="Verdana" w:hAnsi="Verdana" w:cs="Verdana"/>
          <w:b/>
          <w:bCs/>
          <w:i/>
          <w:iCs/>
          <w:spacing w:val="-4"/>
          <w:sz w:val="22"/>
          <w:szCs w:val="22"/>
          <w:lang w:val="es-ES" w:eastAsia="es-ES"/>
        </w:rPr>
        <w:t>TSJ-</w:t>
      </w:r>
      <w:r w:rsidR="00462336">
        <w:rPr>
          <w:rFonts w:ascii="Verdana" w:hAnsi="Verdana" w:cs="Verdana"/>
          <w:b/>
          <w:bCs/>
          <w:i/>
          <w:iCs/>
          <w:spacing w:val="-4"/>
          <w:sz w:val="22"/>
          <w:szCs w:val="22"/>
          <w:lang w:val="es-ES" w:eastAsia="es-ES"/>
        </w:rPr>
        <w:t>XXXX</w:t>
      </w:r>
      <w:r>
        <w:rPr>
          <w:rFonts w:ascii="Verdana" w:hAnsi="Verdana" w:cs="Verdana"/>
          <w:b/>
          <w:bCs/>
          <w:i/>
          <w:iCs/>
          <w:spacing w:val="-4"/>
          <w:sz w:val="22"/>
          <w:szCs w:val="22"/>
          <w:lang w:val="es-ES" w:eastAsia="es-ES"/>
        </w:rPr>
        <w:t xml:space="preserve">, </w:t>
      </w:r>
      <w:r>
        <w:rPr>
          <w:rFonts w:ascii="Verdana" w:hAnsi="Verdana" w:cs="Verdana"/>
          <w:i/>
          <w:iCs/>
          <w:spacing w:val="-4"/>
          <w:sz w:val="22"/>
          <w:szCs w:val="22"/>
          <w:lang w:val="es-ES" w:eastAsia="es-ES"/>
        </w:rPr>
        <w:t xml:space="preserve">cuyo titular es el señor </w:t>
      </w:r>
      <w:r>
        <w:rPr>
          <w:rFonts w:ascii="Verdana" w:hAnsi="Verdana" w:cs="Verdana"/>
          <w:b/>
          <w:bCs/>
          <w:spacing w:val="-4"/>
          <w:sz w:val="18"/>
          <w:szCs w:val="18"/>
          <w:lang w:val="es-ES" w:eastAsia="es-ES"/>
        </w:rPr>
        <w:t>O</w:t>
      </w:r>
      <w:r w:rsidR="00462336">
        <w:rPr>
          <w:rFonts w:ascii="Verdana" w:hAnsi="Verdana" w:cs="Verdana"/>
          <w:b/>
          <w:bCs/>
          <w:spacing w:val="-4"/>
          <w:sz w:val="18"/>
          <w:szCs w:val="18"/>
          <w:lang w:val="es-ES" w:eastAsia="es-ES"/>
        </w:rPr>
        <w:t>.G.S.H.</w:t>
      </w:r>
      <w:r>
        <w:rPr>
          <w:rFonts w:ascii="Verdana" w:hAnsi="Verdana" w:cs="Verdana"/>
          <w:b/>
          <w:bCs/>
          <w:spacing w:val="-4"/>
          <w:sz w:val="18"/>
          <w:szCs w:val="18"/>
          <w:lang w:val="es-ES" w:eastAsia="es-ES"/>
        </w:rPr>
        <w:t xml:space="preserve">, </w:t>
      </w:r>
      <w:r>
        <w:rPr>
          <w:rFonts w:ascii="Verdana" w:hAnsi="Verdana" w:cs="Verdana"/>
          <w:i/>
          <w:iCs/>
          <w:spacing w:val="-4"/>
          <w:sz w:val="22"/>
          <w:szCs w:val="22"/>
          <w:lang w:val="es-ES" w:eastAsia="es-ES"/>
        </w:rPr>
        <w:t>en virtud de no haber realizado el cambio de unidad, antes del vencimiento del rango de antigüedad legalmente establecido y teniendo como consecuencia, el incumplimiento de la obligación de prestar el servicio personalmente por al menos 8 horas diarias, afectando con ello el principio de continuidad del servicio. (...)"</w:t>
      </w:r>
    </w:p>
    <w:p w:rsidR="00617B56" w:rsidRDefault="00DD67AA">
      <w:pPr>
        <w:kinsoku w:val="0"/>
        <w:overflowPunct w:val="0"/>
        <w:autoSpaceDE/>
        <w:autoSpaceDN/>
        <w:adjustRightInd/>
        <w:spacing w:before="247" w:line="273"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7.6.2 de la Sesión Ordinaria 37-3017, </w:t>
      </w:r>
      <w:r>
        <w:rPr>
          <w:rFonts w:ascii="Verdana" w:hAnsi="Verdana" w:cs="Verdana"/>
          <w:sz w:val="22"/>
          <w:szCs w:val="22"/>
          <w:lang w:val="es-ES" w:eastAsia="es-ES"/>
        </w:rPr>
        <w:t xml:space="preserve">acoge el informe técnico de la Dirección de Asuntos Jurídicos el </w:t>
      </w:r>
      <w:r>
        <w:rPr>
          <w:rFonts w:ascii="Verdana" w:hAnsi="Verdana" w:cs="Verdana"/>
          <w:b/>
          <w:bCs/>
          <w:sz w:val="22"/>
          <w:szCs w:val="22"/>
          <w:lang w:val="es-ES" w:eastAsia="es-ES"/>
        </w:rPr>
        <w:t xml:space="preserve">DAJ-2017-002365 del 12 de setiembre de 2017 </w:t>
      </w:r>
      <w:r>
        <w:rPr>
          <w:rFonts w:ascii="Verdana" w:hAnsi="Verdana" w:cs="Verdana"/>
          <w:sz w:val="22"/>
          <w:szCs w:val="22"/>
          <w:lang w:val="es-ES" w:eastAsia="es-ES"/>
        </w:rPr>
        <w:t>y dispone declarar sin lugar el recurso de Revocatoria, por improcedente.</w:t>
      </w:r>
    </w:p>
    <w:p w:rsidR="00617B56" w:rsidRDefault="00DD67AA">
      <w:pPr>
        <w:kinsoku w:val="0"/>
        <w:overflowPunct w:val="0"/>
        <w:autoSpaceDE/>
        <w:autoSpaceDN/>
        <w:adjustRightInd/>
        <w:spacing w:before="267" w:line="268" w:lineRule="exact"/>
        <w:ind w:left="144"/>
        <w:textAlignment w:val="baseline"/>
        <w:rPr>
          <w:rFonts w:ascii="Verdana" w:hAnsi="Verdana" w:cs="Verdana"/>
          <w:b/>
          <w:bCs/>
          <w:sz w:val="22"/>
          <w:szCs w:val="22"/>
          <w:lang w:val="es-ES" w:eastAsia="es-ES"/>
        </w:rPr>
      </w:pPr>
      <w:r>
        <w:rPr>
          <w:rFonts w:ascii="Verdana" w:hAnsi="Verdana" w:cs="Verdana"/>
          <w:b/>
          <w:bCs/>
          <w:sz w:val="22"/>
          <w:szCs w:val="22"/>
          <w:lang w:val="es-ES" w:eastAsia="es-ES"/>
        </w:rPr>
        <w:t>DE LO ALEGADO POR EL RECURRENTE</w:t>
      </w:r>
    </w:p>
    <w:p w:rsidR="00617B56" w:rsidRDefault="00DD67AA">
      <w:pPr>
        <w:kinsoku w:val="0"/>
        <w:overflowPunct w:val="0"/>
        <w:autoSpaceDE/>
        <w:autoSpaceDN/>
        <w:adjustRightInd/>
        <w:spacing w:before="258" w:after="640" w:line="273" w:lineRule="exact"/>
        <w:ind w:left="144" w:right="144"/>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 xml:space="preserve">El señor </w:t>
      </w:r>
      <w:r>
        <w:rPr>
          <w:rFonts w:ascii="Verdana" w:hAnsi="Verdana" w:cs="Verdana"/>
          <w:b/>
          <w:bCs/>
          <w:spacing w:val="-3"/>
          <w:sz w:val="22"/>
          <w:szCs w:val="22"/>
          <w:lang w:val="es-ES" w:eastAsia="es-ES"/>
        </w:rPr>
        <w:t>O</w:t>
      </w:r>
      <w:r w:rsidR="00462336">
        <w:rPr>
          <w:rFonts w:ascii="Verdana" w:hAnsi="Verdana" w:cs="Verdana"/>
          <w:b/>
          <w:bCs/>
          <w:spacing w:val="-3"/>
          <w:sz w:val="22"/>
          <w:szCs w:val="22"/>
          <w:lang w:val="es-ES" w:eastAsia="es-ES"/>
        </w:rPr>
        <w:t>.G.S.H.</w:t>
      </w:r>
      <w:r>
        <w:rPr>
          <w:rFonts w:ascii="Verdana" w:hAnsi="Verdana" w:cs="Verdana"/>
          <w:b/>
          <w:bCs/>
          <w:spacing w:val="-3"/>
          <w:sz w:val="22"/>
          <w:szCs w:val="22"/>
          <w:lang w:val="es-ES" w:eastAsia="es-ES"/>
        </w:rPr>
        <w:t xml:space="preserve">, EN </w:t>
      </w:r>
      <w:r>
        <w:rPr>
          <w:rFonts w:ascii="Verdana" w:hAnsi="Verdana" w:cs="Verdana"/>
          <w:spacing w:val="-3"/>
          <w:sz w:val="22"/>
          <w:szCs w:val="22"/>
          <w:lang w:val="es-ES" w:eastAsia="es-ES"/>
        </w:rPr>
        <w:t xml:space="preserve">su Recurso de Apelación, argumenta que cuenta con la Legitimación suficiente para actuar en el presente asunto. Que ha transcurrido más de un año desde que la Junta Directiva comisionó mediante </w:t>
      </w:r>
      <w:r>
        <w:rPr>
          <w:rFonts w:ascii="Verdana" w:hAnsi="Verdana" w:cs="Verdana"/>
          <w:b/>
          <w:bCs/>
          <w:spacing w:val="-3"/>
          <w:sz w:val="22"/>
          <w:szCs w:val="22"/>
          <w:lang w:val="es-ES" w:eastAsia="es-ES"/>
        </w:rPr>
        <w:t xml:space="preserve">acuerdo 8.1 de la sesión 10-2016 de 3 de marzo de 2016 a la Dirección de Asuntos Jurídicos, </w:t>
      </w:r>
      <w:r>
        <w:rPr>
          <w:rFonts w:ascii="Verdana" w:hAnsi="Verdana" w:cs="Verdana"/>
          <w:spacing w:val="-3"/>
          <w:sz w:val="22"/>
          <w:szCs w:val="22"/>
          <w:lang w:val="es-ES" w:eastAsia="es-ES"/>
        </w:rPr>
        <w:t>para que instruyera el respectivo</w:t>
      </w:r>
    </w:p>
    <w:p w:rsidR="00617B56" w:rsidRDefault="00617B56">
      <w:pPr>
        <w:widowControl/>
        <w:rPr>
          <w:sz w:val="24"/>
          <w:szCs w:val="24"/>
        </w:rPr>
        <w:sectPr w:rsidR="00617B56">
          <w:pgSz w:w="12322" w:h="15821"/>
          <w:pgMar w:top="1360" w:right="1517" w:bottom="245" w:left="1556" w:header="720" w:footer="720" w:gutter="0"/>
          <w:cols w:space="720"/>
          <w:noEndnote/>
        </w:sectPr>
      </w:pPr>
    </w:p>
    <w:p w:rsidR="00617B56" w:rsidRDefault="00DD67AA">
      <w:pPr>
        <w:kinsoku w:val="0"/>
        <w:overflowPunct w:val="0"/>
        <w:autoSpaceDE/>
        <w:autoSpaceDN/>
        <w:adjustRightInd/>
        <w:spacing w:before="36" w:line="267" w:lineRule="exact"/>
        <w:ind w:left="144" w:right="144"/>
        <w:jc w:val="both"/>
        <w:textAlignment w:val="baseline"/>
        <w:rPr>
          <w:rFonts w:ascii="Verdana" w:hAnsi="Verdana" w:cs="Verdana"/>
          <w:spacing w:val="-6"/>
          <w:sz w:val="23"/>
          <w:szCs w:val="23"/>
          <w:lang w:val="es-ES" w:eastAsia="es-ES"/>
        </w:rPr>
      </w:pPr>
      <w:r>
        <w:rPr>
          <w:rFonts w:ascii="Verdana" w:hAnsi="Verdana" w:cs="Verdana"/>
          <w:spacing w:val="-6"/>
          <w:sz w:val="23"/>
          <w:szCs w:val="23"/>
          <w:lang w:val="es-ES" w:eastAsia="es-ES"/>
        </w:rPr>
        <w:lastRenderedPageBreak/>
        <w:t xml:space="preserve">procedimiento administrativo, hasta que ésta pone el informe final en conocimiento del órgano decisor, el 14 de marzo de 2017. Que es cierto que prestaba el servicio con una unidad modelo 2000 que debía ser cambiada en el año 2015, pero la misma Administración por los problemas de muchos taxistas fue aprobando prórrogas para que se efectuaran dichas diligencias; en su caso presentó la solicitud de cambio de unidad en el tiempo requerido pero los trámites se vieron truncados por problemas ajenos a él y modificaciones en las decisiones del mismo CTP. La Junta Directiva del Consejo de Transporte Público mediante acuerdo 8.2 de la sesión ordinaria 6-2016 de 16 de febrero de el mismo año, dio como fecha prorrogada para el cambio de unidades hasta el último día hábil del mes de junio de 2016, acuerdo que posteriormente fue completado por otros y que se constituye en un acto generador de derechos a su favor y que se fortaleza con el oficio </w:t>
      </w:r>
      <w:r>
        <w:rPr>
          <w:rFonts w:ascii="Verdana" w:hAnsi="Verdana" w:cs="Verdana"/>
          <w:b/>
          <w:bCs/>
          <w:spacing w:val="-6"/>
          <w:sz w:val="23"/>
          <w:szCs w:val="23"/>
          <w:lang w:val="es-ES" w:eastAsia="es-ES"/>
        </w:rPr>
        <w:t xml:space="preserve">DACP-TCU-2016-1184 </w:t>
      </w:r>
      <w:r>
        <w:rPr>
          <w:rFonts w:ascii="Verdana" w:hAnsi="Verdana" w:cs="Verdana"/>
          <w:spacing w:val="-6"/>
          <w:sz w:val="23"/>
          <w:szCs w:val="23"/>
          <w:lang w:val="es-ES" w:eastAsia="es-ES"/>
        </w:rPr>
        <w:t>del 2 de mayo de 2016, del departamento de Administración y Concesiones mediante el cual se solicita al Registro Nacional autorizar la desinscripción del vehículo modelo 2000 que operaba por otro modelo 2017. En mayo del 2016 logró presentar todos los documentos requeridos para el cambio de unidad incluyendo proforma de la agencia Suzuki, empresa que le comunica el 10 de agosto de 2016 que el nuevo vehículo sale a su nombre asignándole placa particular e indicándole que se requería una modificación en un oficio el cual se presentó a solventar ante el CTP, donde se le indica de un atraso con la C.C.S.S. lo cual fue solucionada de manera inmediata. Solicita se declare con lugar el Recurso de Apelación.</w:t>
      </w:r>
    </w:p>
    <w:p w:rsidR="00617B56" w:rsidRDefault="00DD67AA">
      <w:pPr>
        <w:kinsoku w:val="0"/>
        <w:overflowPunct w:val="0"/>
        <w:autoSpaceDE/>
        <w:autoSpaceDN/>
        <w:adjustRightInd/>
        <w:spacing w:before="254" w:line="273" w:lineRule="exact"/>
        <w:ind w:left="144" w:right="144"/>
        <w:jc w:val="both"/>
        <w:textAlignment w:val="baseline"/>
        <w:rPr>
          <w:rFonts w:ascii="Verdana" w:hAnsi="Verdana" w:cs="Verdana"/>
          <w:spacing w:val="-4"/>
          <w:sz w:val="23"/>
          <w:szCs w:val="23"/>
          <w:lang w:val="es-ES" w:eastAsia="es-ES"/>
        </w:rPr>
      </w:pPr>
      <w:r>
        <w:rPr>
          <w:rFonts w:ascii="Verdana" w:hAnsi="Verdana" w:cs="Verdana"/>
          <w:spacing w:val="-4"/>
          <w:sz w:val="23"/>
          <w:szCs w:val="23"/>
          <w:lang w:val="es-ES" w:eastAsia="es-ES"/>
        </w:rPr>
        <w:t>El Tribunal Administrativo de Transporte mediante prevención TAT-110-17 de las nueve horas ocho minutos del 28 de setiembre de 2017, da traslado al recurrente para que se refiera al acuerdo que le rechazó la revocatoria y éste se apersona por escrito el día 9 de octubre de 2017 indicando los mismos argumentos de su líbelo, pero adiciona que el procedimiento se encuentra caduco y prescrito, recalca además que presentó en tiempo los documentos y que todo se debió a un error en la agencia Suzuki.</w:t>
      </w:r>
    </w:p>
    <w:p w:rsidR="00617B56" w:rsidRDefault="00DD67AA">
      <w:pPr>
        <w:kinsoku w:val="0"/>
        <w:overflowPunct w:val="0"/>
        <w:autoSpaceDE/>
        <w:autoSpaceDN/>
        <w:adjustRightInd/>
        <w:spacing w:before="284" w:line="283" w:lineRule="exact"/>
        <w:ind w:left="144"/>
        <w:textAlignment w:val="baseline"/>
        <w:rPr>
          <w:b/>
          <w:bCs/>
          <w:spacing w:val="11"/>
          <w:sz w:val="25"/>
          <w:szCs w:val="25"/>
          <w:lang w:val="es-ES" w:eastAsia="es-ES"/>
        </w:rPr>
      </w:pPr>
      <w:r>
        <w:rPr>
          <w:b/>
          <w:bCs/>
          <w:spacing w:val="11"/>
          <w:sz w:val="25"/>
          <w:szCs w:val="25"/>
          <w:lang w:val="es-ES" w:eastAsia="es-ES"/>
        </w:rPr>
        <w:t>DEL PRINCIPIO DE LEGALIDAD</w:t>
      </w:r>
    </w:p>
    <w:p w:rsidR="00617B56" w:rsidRDefault="00DD67AA">
      <w:pPr>
        <w:kinsoku w:val="0"/>
        <w:overflowPunct w:val="0"/>
        <w:autoSpaceDE/>
        <w:autoSpaceDN/>
        <w:adjustRightInd/>
        <w:spacing w:before="262" w:line="291" w:lineRule="exact"/>
        <w:ind w:left="144" w:right="144"/>
        <w:jc w:val="both"/>
        <w:textAlignment w:val="baseline"/>
        <w:rPr>
          <w:rFonts w:ascii="Verdana" w:hAnsi="Verdana" w:cs="Verdana"/>
          <w:spacing w:val="5"/>
          <w:sz w:val="23"/>
          <w:szCs w:val="23"/>
          <w:lang w:val="es-ES" w:eastAsia="es-ES"/>
        </w:rPr>
      </w:pPr>
      <w:r>
        <w:rPr>
          <w:rFonts w:ascii="Verdana" w:hAnsi="Verdana" w:cs="Verdana"/>
          <w:spacing w:val="5"/>
          <w:sz w:val="23"/>
          <w:szCs w:val="23"/>
          <w:lang w:val="es-ES" w:eastAsia="es-ES"/>
        </w:rPr>
        <w:t>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w:t>
      </w:r>
    </w:p>
    <w:p w:rsidR="00617B56" w:rsidRDefault="00DD67AA">
      <w:pPr>
        <w:kinsoku w:val="0"/>
        <w:overflowPunct w:val="0"/>
        <w:autoSpaceDE/>
        <w:autoSpaceDN/>
        <w:adjustRightInd/>
        <w:spacing w:before="283" w:line="296" w:lineRule="exact"/>
        <w:ind w:left="144" w:right="144"/>
        <w:jc w:val="both"/>
        <w:textAlignment w:val="baseline"/>
        <w:rPr>
          <w:rFonts w:ascii="Verdana" w:hAnsi="Verdana" w:cs="Verdana"/>
          <w:sz w:val="23"/>
          <w:szCs w:val="23"/>
          <w:lang w:val="es-ES" w:eastAsia="es-ES"/>
        </w:rPr>
      </w:pPr>
      <w:r>
        <w:rPr>
          <w:rFonts w:ascii="Verdana" w:hAnsi="Verdana" w:cs="Verdana"/>
          <w:sz w:val="23"/>
          <w:szCs w:val="23"/>
          <w:lang w:val="es-ES" w:eastAsia="es-ES"/>
        </w:rPr>
        <w:t xml:space="preserve">La Sala Constitucional de la Corte Suprema de Justicia, en su sentencia No. 2001-02493, de las dieciséis horas, con veinticinco minutos, del veintisiete de marzo del dos </w:t>
      </w:r>
      <w:proofErr w:type="gramStart"/>
      <w:r>
        <w:rPr>
          <w:rFonts w:ascii="Verdana" w:hAnsi="Verdana" w:cs="Verdana"/>
          <w:sz w:val="23"/>
          <w:szCs w:val="23"/>
          <w:lang w:val="es-ES" w:eastAsia="es-ES"/>
        </w:rPr>
        <w:t>mil uno</w:t>
      </w:r>
      <w:proofErr w:type="gramEnd"/>
      <w:r>
        <w:rPr>
          <w:rFonts w:ascii="Verdana" w:hAnsi="Verdana" w:cs="Verdana"/>
          <w:sz w:val="23"/>
          <w:szCs w:val="23"/>
          <w:lang w:val="es-ES" w:eastAsia="es-ES"/>
        </w:rPr>
        <w:t>, respecto del Principio de Legalidad,</w:t>
      </w:r>
    </w:p>
    <w:p w:rsidR="00617B56" w:rsidRDefault="00DD67AA">
      <w:pPr>
        <w:kinsoku w:val="0"/>
        <w:overflowPunct w:val="0"/>
        <w:autoSpaceDE/>
        <w:autoSpaceDN/>
        <w:adjustRightInd/>
        <w:spacing w:before="37" w:line="273" w:lineRule="exact"/>
        <w:ind w:left="144"/>
        <w:textAlignment w:val="baseline"/>
        <w:rPr>
          <w:rFonts w:ascii="Verdana" w:hAnsi="Verdana" w:cs="Verdana"/>
          <w:spacing w:val="-6"/>
          <w:sz w:val="23"/>
          <w:szCs w:val="23"/>
          <w:lang w:val="es-ES" w:eastAsia="es-ES"/>
        </w:rPr>
      </w:pPr>
      <w:r>
        <w:rPr>
          <w:rFonts w:ascii="Verdana" w:hAnsi="Verdana" w:cs="Verdana"/>
          <w:spacing w:val="-6"/>
          <w:sz w:val="23"/>
          <w:szCs w:val="23"/>
          <w:lang w:val="es-ES" w:eastAsia="es-ES"/>
        </w:rPr>
        <w:t>manifestó:</w:t>
      </w:r>
    </w:p>
    <w:p w:rsidR="00617B56" w:rsidRDefault="00617B56">
      <w:pPr>
        <w:widowControl/>
        <w:rPr>
          <w:sz w:val="24"/>
          <w:szCs w:val="24"/>
        </w:rPr>
        <w:sectPr w:rsidR="00617B56">
          <w:pgSz w:w="12331" w:h="15782"/>
          <w:pgMar w:top="1280" w:right="1546" w:bottom="286" w:left="1536" w:header="720" w:footer="720" w:gutter="0"/>
          <w:cols w:space="720"/>
          <w:noEndnote/>
        </w:sectPr>
      </w:pPr>
    </w:p>
    <w:p w:rsidR="00617B56" w:rsidRDefault="00DD67AA">
      <w:pPr>
        <w:kinsoku w:val="0"/>
        <w:overflowPunct w:val="0"/>
        <w:autoSpaceDE/>
        <w:autoSpaceDN/>
        <w:adjustRightInd/>
        <w:spacing w:before="3" w:line="292" w:lineRule="exact"/>
        <w:ind w:left="144" w:right="144"/>
        <w:jc w:val="both"/>
        <w:textAlignment w:val="baseline"/>
        <w:rPr>
          <w:rFonts w:ascii="Verdana" w:hAnsi="Verdana" w:cs="Verdana"/>
          <w:b/>
          <w:bCs/>
          <w:sz w:val="24"/>
          <w:szCs w:val="24"/>
          <w:lang w:val="es-ES" w:eastAsia="es-ES"/>
        </w:rPr>
      </w:pPr>
      <w:r>
        <w:rPr>
          <w:rFonts w:ascii="Arial" w:hAnsi="Arial" w:cs="Arial"/>
          <w:sz w:val="26"/>
          <w:szCs w:val="26"/>
          <w:lang w:val="es-ES" w:eastAsia="es-ES"/>
        </w:rPr>
        <w:lastRenderedPageBreak/>
        <w:t xml:space="preserve">"II.- Sobre el principio de legalidad: El principio de legalidad que se consagra en el artículo 11 de nuestra Constitución Política, significa que </w:t>
      </w:r>
      <w:r>
        <w:rPr>
          <w:rFonts w:ascii="Verdana" w:hAnsi="Verdana" w:cs="Verdana"/>
          <w:b/>
          <w:bCs/>
          <w:sz w:val="24"/>
          <w:szCs w:val="24"/>
          <w:u w:val="single"/>
          <w:lang w:val="es-ES" w:eastAsia="es-ES"/>
        </w:rPr>
        <w:t>los actos y comportamientos de la Administración deben de estar regulados por norma escrita,</w:t>
      </w:r>
      <w:r>
        <w:rPr>
          <w:rFonts w:ascii="Arial" w:hAnsi="Arial" w:cs="Arial"/>
          <w:sz w:val="26"/>
          <w:szCs w:val="26"/>
          <w:lang w:val="es-ES" w:eastAsia="es-ES"/>
        </w:rPr>
        <w:t xml:space="preserve"> lo que significa desde luego, el sometimiento a la Constitución y a la ley, preferentemente, y en general a todas las normas del ordenamiento jurídico, o sea lo que se conoce como el principio de juridicidad de la Administración, </w:t>
      </w:r>
      <w:r>
        <w:rPr>
          <w:rFonts w:ascii="Verdana" w:hAnsi="Verdana" w:cs="Verdana"/>
          <w:b/>
          <w:bCs/>
          <w:sz w:val="24"/>
          <w:szCs w:val="24"/>
          <w:u w:val="single"/>
          <w:lang w:val="es-ES" w:eastAsia="es-ES"/>
        </w:rPr>
        <w:t>el cual significa  que las instituciones públicas solamente pueden actuar en la  medida en la que se encuentren apoderadas para hacerlo por el  mismo ordenamiento y normalmente a texto expreso,</w:t>
      </w:r>
      <w:r>
        <w:rPr>
          <w:rFonts w:ascii="Verdana" w:hAnsi="Verdana" w:cs="Verdana"/>
          <w:b/>
          <w:bCs/>
          <w:sz w:val="24"/>
          <w:szCs w:val="24"/>
          <w:lang w:val="es-ES" w:eastAsia="es-ES"/>
        </w:rPr>
        <w:t xml:space="preserve"> en </w:t>
      </w:r>
      <w:r>
        <w:rPr>
          <w:rFonts w:ascii="Verdana" w:hAnsi="Verdana" w:cs="Verdana"/>
          <w:b/>
          <w:bCs/>
          <w:sz w:val="24"/>
          <w:szCs w:val="24"/>
          <w:u w:val="single"/>
          <w:lang w:val="es-ES" w:eastAsia="es-ES"/>
        </w:rPr>
        <w:t xml:space="preserve">consecuencia solo le es permitido lo que esté constitucionalmente y legalmente autorizado en forma expresa </w:t>
      </w:r>
      <w:r>
        <w:rPr>
          <w:rFonts w:ascii="Verdana" w:hAnsi="Verdana" w:cs="Verdana"/>
          <w:b/>
          <w:bCs/>
          <w:i/>
          <w:iCs/>
          <w:sz w:val="24"/>
          <w:szCs w:val="24"/>
          <w:u w:val="single"/>
          <w:lang w:val="es-ES" w:eastAsia="es-ES"/>
        </w:rPr>
        <w:t xml:space="preserve">y todo lo que no les esté autorizado les está vedado. </w:t>
      </w:r>
      <w:r>
        <w:rPr>
          <w:rFonts w:ascii="Verdana" w:hAnsi="Verdana" w:cs="Verdana"/>
          <w:b/>
          <w:bCs/>
          <w:sz w:val="24"/>
          <w:szCs w:val="24"/>
          <w:u w:val="single"/>
          <w:lang w:val="es-ES" w:eastAsia="es-ES"/>
        </w:rPr>
        <w:t>"(Lo</w:t>
      </w:r>
      <w:r>
        <w:rPr>
          <w:rFonts w:ascii="Verdana" w:hAnsi="Verdana" w:cs="Verdana"/>
          <w:b/>
          <w:bCs/>
          <w:sz w:val="24"/>
          <w:szCs w:val="24"/>
          <w:lang w:val="es-ES" w:eastAsia="es-ES"/>
        </w:rPr>
        <w:t xml:space="preserve"> resaltado no es del original)</w:t>
      </w:r>
    </w:p>
    <w:p w:rsidR="00617B56" w:rsidRDefault="00DD67AA">
      <w:pPr>
        <w:kinsoku w:val="0"/>
        <w:overflowPunct w:val="0"/>
        <w:autoSpaceDE/>
        <w:autoSpaceDN/>
        <w:adjustRightInd/>
        <w:spacing w:before="299" w:line="292" w:lineRule="exact"/>
        <w:ind w:left="144" w:right="144"/>
        <w:jc w:val="both"/>
        <w:textAlignment w:val="baseline"/>
        <w:rPr>
          <w:rFonts w:ascii="Arial" w:hAnsi="Arial" w:cs="Arial"/>
          <w:sz w:val="26"/>
          <w:szCs w:val="26"/>
          <w:lang w:val="es-ES" w:eastAsia="es-ES"/>
        </w:rPr>
      </w:pPr>
      <w:r>
        <w:rPr>
          <w:rFonts w:ascii="Arial" w:hAnsi="Arial" w:cs="Arial"/>
          <w:sz w:val="26"/>
          <w:szCs w:val="26"/>
          <w:lang w:val="es-ES" w:eastAsia="es-ES"/>
        </w:rPr>
        <w:t>El Principio de Legalidad constituye pues el marco de acción o actuación al cual se encuentra sujeto todo funcionario público y de no ajustarse a éste sus actos son nulos.</w:t>
      </w:r>
    </w:p>
    <w:p w:rsidR="00617B56" w:rsidRDefault="00DD67AA">
      <w:pPr>
        <w:kinsoku w:val="0"/>
        <w:overflowPunct w:val="0"/>
        <w:autoSpaceDE/>
        <w:autoSpaceDN/>
        <w:adjustRightInd/>
        <w:spacing w:before="119" w:line="277" w:lineRule="exact"/>
        <w:ind w:left="144"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t>La Procuraduría General de la República analizó ese principio, de la siguiente forma:</w:t>
      </w:r>
    </w:p>
    <w:p w:rsidR="00617B56" w:rsidRDefault="00DD67AA">
      <w:pPr>
        <w:kinsoku w:val="0"/>
        <w:overflowPunct w:val="0"/>
        <w:autoSpaceDE/>
        <w:autoSpaceDN/>
        <w:adjustRightInd/>
        <w:spacing w:before="277" w:line="231" w:lineRule="exact"/>
        <w:ind w:left="720" w:right="576"/>
        <w:jc w:val="both"/>
        <w:textAlignment w:val="baseline"/>
        <w:rPr>
          <w:rFonts w:ascii="Arial" w:hAnsi="Arial" w:cs="Arial"/>
          <w:i/>
          <w:iCs/>
          <w:lang w:val="es-ES" w:eastAsia="es-ES"/>
        </w:rPr>
      </w:pPr>
      <w:proofErr w:type="gramStart"/>
      <w:r>
        <w:rPr>
          <w:rFonts w:ascii="Arial" w:hAnsi="Arial" w:cs="Arial"/>
          <w:i/>
          <w:iCs/>
          <w:lang w:val="es-ES" w:eastAsia="es-ES"/>
        </w:rPr>
        <w:t>"....</w:t>
      </w:r>
      <w:proofErr w:type="gramEnd"/>
      <w:r>
        <w:rPr>
          <w:rFonts w:ascii="Arial" w:hAnsi="Arial" w:cs="Arial"/>
          <w:i/>
          <w:iCs/>
          <w:lang w:val="es-ES" w:eastAsia="es-ES"/>
        </w:rPr>
        <w:t>la Carta Fundamental señala que los funcionarios públicos son simples depositarios de la autoridad, deben cumplir los deberes que el ordenamiento jurídico les impone y no pueden arrogarse facultades no concedidas por él. En otras palabras, el principio de legalidad impide que los alcaldes suplentes ejerzan funciones no asignadas por el ordenamiento jurídico. Sobre este importante principio, en el dictamen C-128-2002 de 24 de mayo del 2002, expresamos lo siguiente:</w:t>
      </w:r>
    </w:p>
    <w:p w:rsidR="00617B56" w:rsidRDefault="00DD67AA">
      <w:pPr>
        <w:kinsoku w:val="0"/>
        <w:overflowPunct w:val="0"/>
        <w:autoSpaceDE/>
        <w:autoSpaceDN/>
        <w:adjustRightInd/>
        <w:spacing w:before="250" w:line="231" w:lineRule="exact"/>
        <w:ind w:left="720" w:right="576"/>
        <w:jc w:val="both"/>
        <w:textAlignment w:val="baseline"/>
        <w:rPr>
          <w:rFonts w:ascii="Arial" w:hAnsi="Arial" w:cs="Arial"/>
          <w:i/>
          <w:iCs/>
          <w:lang w:val="es-ES" w:eastAsia="es-ES"/>
        </w:rPr>
      </w:pPr>
      <w:r>
        <w:rPr>
          <w:rFonts w:ascii="Arial" w:hAnsi="Arial" w:cs="Arial"/>
          <w:i/>
          <w:iCs/>
          <w:lang w:val="es-ES" w:eastAsia="es-ES"/>
        </w:rPr>
        <w:t>`Debemos recordar que, en el Estado democrático, el ejercicio del poder es limitado; está sujeto a reglas previas y precisas, las cuales delimitan la competencia de los órganos y entes públicos; o sea, que sus potestades están claramente fijas de antemano, para alcanzar el fin que el ordenamiento jurídico les impone. 'En los términos más generales, el principio de legalidad en el estado de derecho postula una forma especial de vinculación de las autoridades e instituciones públicas al ordenamiento jurídico, a partir de una definición básica según la cual toda autoridad o institución pública lo es y solamente puede actuar en la medida en que se encuentre apoderada para hacerlo por el mismo ordenamiento, y normalmente a texto expreso —para las autoridades e instituciones públicas sólo está permitido lo que esté constitucional y legalmente autorizado en forma expresa, y todo lo que no les esté autorizado les está vedado.' (Véase el Voto N° 440-98 de la Sala Constitucional.)</w:t>
      </w:r>
    </w:p>
    <w:p w:rsidR="00617B56" w:rsidRDefault="00DD67AA">
      <w:pPr>
        <w:kinsoku w:val="0"/>
        <w:overflowPunct w:val="0"/>
        <w:autoSpaceDE/>
        <w:autoSpaceDN/>
        <w:adjustRightInd/>
        <w:spacing w:before="306" w:after="518" w:line="231" w:lineRule="exact"/>
        <w:ind w:left="720" w:right="576"/>
        <w:jc w:val="both"/>
        <w:textAlignment w:val="baseline"/>
        <w:rPr>
          <w:rFonts w:ascii="Arial" w:hAnsi="Arial" w:cs="Arial"/>
          <w:i/>
          <w:iCs/>
          <w:spacing w:val="-2"/>
          <w:lang w:val="es-ES" w:eastAsia="es-ES"/>
        </w:rPr>
      </w:pPr>
      <w:r>
        <w:rPr>
          <w:rFonts w:ascii="Arial" w:hAnsi="Arial" w:cs="Arial"/>
          <w:i/>
          <w:iCs/>
          <w:spacing w:val="-2"/>
          <w:lang w:val="es-ES" w:eastAsia="es-ES"/>
        </w:rPr>
        <w:t xml:space="preserve">El Estado de Derecho supone, según HAURIOU, una gran fe jurídica. 'En efecto, cualesquiera que sean las peripecias de la lucha, las iniciativas de los ciudadanos o las resistencias de los gobernantes, de lo que se trata es de la sumisión del Estado al Derecho; más precisamente, de obligar a los gobernantes a actuar siempre en el marco de un Estado, desde ahora dota de una Constitución, de conformidad con las reglas jurídicas que hayan sido establecidas por el pueblo o por sus representantes.' (HAURIOU, André </w:t>
      </w:r>
      <w:r>
        <w:rPr>
          <w:rFonts w:ascii="Arial" w:hAnsi="Arial" w:cs="Arial"/>
          <w:i/>
          <w:iCs/>
          <w:spacing w:val="-2"/>
          <w:u w:val="single"/>
          <w:lang w:val="es-ES" w:eastAsia="es-ES"/>
        </w:rPr>
        <w:t>Derecho Constitucional e Instituciones Políticas,</w:t>
      </w:r>
      <w:r>
        <w:rPr>
          <w:rFonts w:ascii="Arial" w:hAnsi="Arial" w:cs="Arial"/>
          <w:i/>
          <w:iCs/>
          <w:spacing w:val="-2"/>
          <w:lang w:val="es-ES" w:eastAsia="es-ES"/>
        </w:rPr>
        <w:t xml:space="preserve"> Ediciones Ariel, Barcelona-España, 1970, página 191). Desde esta perspectiva, y parafraseando al gran jurista HANS KELSEN, el Derecho es el lenguaje ética y jurídicamente válido a través del cual se expresa el poder. En otras palabras, en la sociedad democrática el Estado sólo puede</w:t>
      </w:r>
    </w:p>
    <w:p w:rsidR="00617B56" w:rsidRDefault="00617B56">
      <w:pPr>
        <w:widowControl/>
        <w:rPr>
          <w:sz w:val="24"/>
          <w:szCs w:val="24"/>
        </w:rPr>
        <w:sectPr w:rsidR="00617B56">
          <w:pgSz w:w="12331" w:h="15782"/>
          <w:pgMar w:top="1380" w:right="1533" w:bottom="226" w:left="1549" w:header="720" w:footer="720" w:gutter="0"/>
          <w:cols w:space="720"/>
          <w:noEndnote/>
        </w:sectPr>
      </w:pPr>
    </w:p>
    <w:p w:rsidR="00617B56" w:rsidRDefault="00DD67AA">
      <w:pPr>
        <w:kinsoku w:val="0"/>
        <w:overflowPunct w:val="0"/>
        <w:autoSpaceDE/>
        <w:autoSpaceDN/>
        <w:adjustRightInd/>
        <w:spacing w:before="6" w:line="232" w:lineRule="exact"/>
        <w:jc w:val="both"/>
        <w:textAlignment w:val="baseline"/>
        <w:rPr>
          <w:rFonts w:ascii="Arial" w:hAnsi="Arial" w:cs="Arial"/>
          <w:i/>
          <w:iCs/>
          <w:lang w:val="es-ES" w:eastAsia="es-ES"/>
        </w:rPr>
      </w:pPr>
      <w:r>
        <w:rPr>
          <w:rFonts w:ascii="Arial" w:hAnsi="Arial" w:cs="Arial"/>
          <w:i/>
          <w:iCs/>
          <w:lang w:val="es-ES" w:eastAsia="es-ES"/>
        </w:rPr>
        <w:lastRenderedPageBreak/>
        <w:t>actuar a través del Derecho, ya que una actuación al margen o en contra de él supone una acción arbitraria y, por ende, sujeta a ser anulada por las autoridades competentes.</w:t>
      </w:r>
    </w:p>
    <w:p w:rsidR="00617B56" w:rsidRDefault="00DD67AA">
      <w:pPr>
        <w:kinsoku w:val="0"/>
        <w:overflowPunct w:val="0"/>
        <w:autoSpaceDE/>
        <w:autoSpaceDN/>
        <w:adjustRightInd/>
        <w:spacing w:before="266" w:line="232" w:lineRule="exact"/>
        <w:jc w:val="both"/>
        <w:textAlignment w:val="baseline"/>
        <w:rPr>
          <w:rFonts w:ascii="Arial" w:hAnsi="Arial" w:cs="Arial"/>
          <w:i/>
          <w:iCs/>
          <w:spacing w:val="-1"/>
          <w:lang w:val="es-ES" w:eastAsia="es-ES"/>
        </w:rPr>
      </w:pPr>
      <w:r>
        <w:rPr>
          <w:rFonts w:ascii="Arial" w:hAnsi="Arial" w:cs="Arial"/>
          <w:i/>
          <w:iCs/>
          <w:spacing w:val="-1"/>
          <w:lang w:val="es-ES" w:eastAsia="es-ES"/>
        </w:rPr>
        <w:t>A diferencia de lo que ocurre en el ámbito privado, donde los sujetos están regidos por el principio de libertad (todo lo que no está prohibido está permitido), y sus dos componentes esenciales: el principio de la autonomía de la voluntad y el principio de igualdad entre las partes contratantes), la Administración Pública está regentada, tanto en su organización como en su funcionamiento, por el principio de legalidad (todo lo que no está autorizado está prohibido).</w:t>
      </w:r>
    </w:p>
    <w:p w:rsidR="00617B56" w:rsidRDefault="00DD67AA">
      <w:pPr>
        <w:kinsoku w:val="0"/>
        <w:overflowPunct w:val="0"/>
        <w:autoSpaceDE/>
        <w:autoSpaceDN/>
        <w:adjustRightInd/>
        <w:spacing w:before="266" w:line="233" w:lineRule="exact"/>
        <w:jc w:val="both"/>
        <w:textAlignment w:val="baseline"/>
        <w:rPr>
          <w:rFonts w:ascii="Arial" w:hAnsi="Arial" w:cs="Arial"/>
          <w:i/>
          <w:iCs/>
          <w:lang w:val="es-ES" w:eastAsia="es-ES"/>
        </w:rPr>
      </w:pPr>
      <w:r>
        <w:rPr>
          <w:rFonts w:ascii="Arial" w:hAnsi="Arial" w:cs="Arial"/>
          <w:i/>
          <w:iCs/>
          <w:lang w:val="es-ES" w:eastAsia="es-ES"/>
        </w:rPr>
        <w:t xml:space="preserve">El principio de legalidad ha sido definido como una técnica de libertad y una técnica de autoridad (GARCÍA DE ENTERRÍA, Eduardo Y OTRO. </w:t>
      </w:r>
      <w:r>
        <w:rPr>
          <w:rFonts w:ascii="Arial" w:hAnsi="Arial" w:cs="Arial"/>
          <w:i/>
          <w:iCs/>
          <w:u w:val="single"/>
          <w:lang w:val="es-ES" w:eastAsia="es-ES"/>
        </w:rPr>
        <w:t xml:space="preserve">Curso de Derecho Administrativo. </w:t>
      </w:r>
      <w:r>
        <w:rPr>
          <w:rFonts w:ascii="Arial" w:hAnsi="Arial" w:cs="Arial"/>
          <w:i/>
          <w:iCs/>
          <w:lang w:val="es-ES" w:eastAsia="es-ES"/>
        </w:rPr>
        <w:t xml:space="preserve">Editorial Civitas, Madrid-España, reimpresión a la tercera edición, 1980). Lo primero, porque en todo Estado de Derecho el poder está sometido al Derecho, tal y como se indicó supra. Con base en lo anterior, </w:t>
      </w:r>
      <w:r>
        <w:rPr>
          <w:rFonts w:ascii="Arial" w:hAnsi="Arial" w:cs="Arial"/>
          <w:b/>
          <w:bCs/>
          <w:i/>
          <w:iCs/>
          <w:u w:val="single"/>
          <w:lang w:val="es-ES" w:eastAsia="es-ES"/>
        </w:rPr>
        <w:t xml:space="preserve">el Estado sólo puede expresarse a través </w:t>
      </w:r>
      <w:proofErr w:type="gramStart"/>
      <w:r>
        <w:rPr>
          <w:rFonts w:ascii="Arial" w:hAnsi="Arial" w:cs="Arial"/>
          <w:b/>
          <w:bCs/>
          <w:i/>
          <w:iCs/>
          <w:u w:val="single"/>
          <w:lang w:val="es-ES" w:eastAsia="es-ES"/>
        </w:rPr>
        <w:t>de  normas</w:t>
      </w:r>
      <w:proofErr w:type="gramEnd"/>
      <w:r>
        <w:rPr>
          <w:rFonts w:ascii="Arial" w:hAnsi="Arial" w:cs="Arial"/>
          <w:b/>
          <w:bCs/>
          <w:i/>
          <w:iCs/>
          <w:u w:val="single"/>
          <w:lang w:val="es-ES" w:eastAsia="es-ES"/>
        </w:rPr>
        <w:t xml:space="preserve"> habilitantes del ordenamiento jurídico, las cuales responden a los ideales  y a las aspiraciones de los habitantes de las sociedades democráticas, con lo que  se busca evitar actuaciones que afecten las libertades fundamentales de la  persona.</w:t>
      </w:r>
      <w:r>
        <w:rPr>
          <w:rFonts w:ascii="Arial" w:hAnsi="Arial" w:cs="Arial"/>
          <w:i/>
          <w:iCs/>
          <w:lang w:val="es-ES" w:eastAsia="es-ES"/>
        </w:rPr>
        <w:t xml:space="preserve"> El principio de legalidad constituye un presupuesto esencial para garantizar la libertad; sin él, el ciudadano estaría a merced de las actuaciones discriminatorias y abusivas de los poderes públicos.</w:t>
      </w:r>
    </w:p>
    <w:p w:rsidR="00617B56" w:rsidRDefault="00DD67AA">
      <w:pPr>
        <w:kinsoku w:val="0"/>
        <w:overflowPunct w:val="0"/>
        <w:autoSpaceDE/>
        <w:autoSpaceDN/>
        <w:adjustRightInd/>
        <w:spacing w:before="266" w:line="232" w:lineRule="exact"/>
        <w:jc w:val="both"/>
        <w:textAlignment w:val="baseline"/>
        <w:rPr>
          <w:rFonts w:ascii="Arial" w:hAnsi="Arial" w:cs="Arial"/>
          <w:i/>
          <w:iCs/>
          <w:lang w:val="es-ES" w:eastAsia="es-ES"/>
        </w:rPr>
      </w:pPr>
      <w:r>
        <w:rPr>
          <w:rFonts w:ascii="Arial" w:hAnsi="Arial" w:cs="Arial"/>
          <w:i/>
          <w:iCs/>
          <w:lang w:val="es-ES" w:eastAsia="es-ES"/>
        </w:rPr>
        <w:t xml:space="preserve">Por otra parte, el principio de legalidad es una técnica de autoridad, porque gracias a él se le otorgan las potestades jurídicas a la Administración Pública para que cumpla con los fines que le impone el ordenamiento jurídico. Desde esta óptica, el principio de legalidad es una garantía para el administrado, </w:t>
      </w:r>
      <w:proofErr w:type="gramStart"/>
      <w:r>
        <w:rPr>
          <w:rFonts w:ascii="Arial" w:hAnsi="Arial" w:cs="Arial"/>
          <w:i/>
          <w:iCs/>
          <w:lang w:val="es-ES" w:eastAsia="es-ES"/>
        </w:rPr>
        <w:t>ya que</w:t>
      </w:r>
      <w:proofErr w:type="gramEnd"/>
      <w:r>
        <w:rPr>
          <w:rFonts w:ascii="Arial" w:hAnsi="Arial" w:cs="Arial"/>
          <w:i/>
          <w:iCs/>
          <w:lang w:val="es-ES" w:eastAsia="es-ES"/>
        </w:rPr>
        <w:t xml:space="preserve"> gracias a él, la Administración posee los poderes suficientes que le permiten desplegar las actividades necesarias para satisfacer el interés público. Ahora bien, sólo es legítimo el utilizar esas atribuciones en los fines que expresa o implícitamente le impone el ordenamiento jurídico a la Administración Pública, porque de lo contrario, se caería en vicio de desviación de poder. También, la validez del uso de esos poderes, está condicionada al ejercicio razonable y donde exista una relación lógica y justa entre los medios empleados y los fines perseguidos, </w:t>
      </w:r>
      <w:proofErr w:type="gramStart"/>
      <w:r>
        <w:rPr>
          <w:rFonts w:ascii="Arial" w:hAnsi="Arial" w:cs="Arial"/>
          <w:i/>
          <w:iCs/>
          <w:lang w:val="es-ES" w:eastAsia="es-ES"/>
        </w:rPr>
        <w:t>ya que</w:t>
      </w:r>
      <w:proofErr w:type="gramEnd"/>
      <w:r>
        <w:rPr>
          <w:rFonts w:ascii="Arial" w:hAnsi="Arial" w:cs="Arial"/>
          <w:i/>
          <w:iCs/>
          <w:lang w:val="es-ES" w:eastAsia="es-ES"/>
        </w:rPr>
        <w:t xml:space="preserve"> de no ser así, se caería en el vicio de exceso de poder.</w:t>
      </w:r>
    </w:p>
    <w:p w:rsidR="00617B56" w:rsidRDefault="00DD67AA">
      <w:pPr>
        <w:kinsoku w:val="0"/>
        <w:overflowPunct w:val="0"/>
        <w:autoSpaceDE/>
        <w:autoSpaceDN/>
        <w:adjustRightInd/>
        <w:spacing w:before="269" w:line="232" w:lineRule="exact"/>
        <w:jc w:val="both"/>
        <w:textAlignment w:val="baseline"/>
        <w:rPr>
          <w:rFonts w:ascii="Arial" w:hAnsi="Arial" w:cs="Arial"/>
          <w:i/>
          <w:iCs/>
          <w:lang w:val="es-ES" w:eastAsia="es-ES"/>
        </w:rPr>
      </w:pPr>
      <w:r>
        <w:rPr>
          <w:rFonts w:ascii="Arial" w:hAnsi="Arial" w:cs="Arial"/>
          <w:i/>
          <w:iCs/>
          <w:lang w:val="es-ES" w:eastAsia="es-ES"/>
        </w:rPr>
        <w:t>Así las cosas, podemos afirmar que la Administración Pública en la sociedad democrática está sometida al principio de legalidad. Con base en él, aquélla sólo puede realizar los actos que están previamente autorizados por el ordenamiento jurídico. En efecto, señala el artículo 11 LGAP, que la Administración Pública debe actuar sometida al ordenamiento jurídico y sólo puede realizar aquellos actos o prestar aquellos servicios públicos que autorice dicho ordenamiento, según la escala jerárquica de sus fuentes.</w:t>
      </w:r>
    </w:p>
    <w:p w:rsidR="00617B56" w:rsidRDefault="00DD67AA">
      <w:pPr>
        <w:kinsoku w:val="0"/>
        <w:overflowPunct w:val="0"/>
        <w:autoSpaceDE/>
        <w:autoSpaceDN/>
        <w:adjustRightInd/>
        <w:spacing w:before="264" w:line="232" w:lineRule="exact"/>
        <w:jc w:val="both"/>
        <w:textAlignment w:val="baseline"/>
        <w:rPr>
          <w:rFonts w:ascii="Arial" w:hAnsi="Arial" w:cs="Arial"/>
          <w:i/>
          <w:iCs/>
          <w:lang w:val="es-ES" w:eastAsia="es-ES"/>
        </w:rPr>
      </w:pPr>
      <w:r>
        <w:rPr>
          <w:rFonts w:ascii="Arial" w:hAnsi="Arial" w:cs="Arial"/>
          <w:i/>
          <w:iCs/>
          <w:lang w:val="es-ES" w:eastAsia="es-ES"/>
        </w:rPr>
        <w:t>Por su parte, la Sala Constitucional de Costa Rica, en el voto N° 440-98, ha sostenido la tesis de que, en el Estado de Derecho, el principio de legalidad postula una forma especial de vinculación de las autoridades e instituciones públicas al ordenamiento jurídico. Desde esta perspectiva, '...toda autoridad o institución pública lo es y solamente puede actuar en la medida en que se encuentre apoderada para hacerlo por el mismo ordenamiento, y normalmente a texto expreso —para las autoridades e instituciones públicas sólo está permitido lo que este constitucional y legalmente autorizado en forma expresa, y todo lo que no esté autorizado les está vedado-; así como sus dos corolarios más importantes, todavía dentro de un orden general; el principio de regulación mínima, que tiene especiales exigencias en materia procesal, y el de reserva de ley, que en este campo es casi absoluto.' (Véase el voto N° 440-98 de la Sala Constitucional).</w:t>
      </w:r>
    </w:p>
    <w:p w:rsidR="00617B56" w:rsidRDefault="00DD67AA">
      <w:pPr>
        <w:kinsoku w:val="0"/>
        <w:overflowPunct w:val="0"/>
        <w:autoSpaceDE/>
        <w:autoSpaceDN/>
        <w:adjustRightInd/>
        <w:spacing w:before="273" w:after="532" w:line="239" w:lineRule="exact"/>
        <w:jc w:val="both"/>
        <w:textAlignment w:val="baseline"/>
        <w:rPr>
          <w:rFonts w:ascii="Arial" w:hAnsi="Arial" w:cs="Arial"/>
          <w:i/>
          <w:iCs/>
          <w:lang w:val="es-ES" w:eastAsia="es-ES"/>
        </w:rPr>
      </w:pPr>
      <w:r>
        <w:rPr>
          <w:rFonts w:ascii="Arial" w:hAnsi="Arial" w:cs="Arial"/>
          <w:i/>
          <w:iCs/>
          <w:lang w:val="es-ES" w:eastAsia="es-ES"/>
        </w:rPr>
        <w:t>En otra importante resolución, la N° 897-98, el Tribunal Constitucional de Costa Rica estableció lo siguiente:</w:t>
      </w:r>
    </w:p>
    <w:p w:rsidR="00617B56" w:rsidRDefault="00617B56">
      <w:pPr>
        <w:widowControl/>
        <w:rPr>
          <w:sz w:val="24"/>
          <w:szCs w:val="24"/>
        </w:rPr>
        <w:sectPr w:rsidR="00617B56">
          <w:pgSz w:w="12322" w:h="15821"/>
          <w:pgMar w:top="1340" w:right="2130" w:bottom="245" w:left="2232" w:header="720" w:footer="720" w:gutter="0"/>
          <w:cols w:space="720"/>
          <w:noEndnote/>
        </w:sectPr>
      </w:pPr>
    </w:p>
    <w:p w:rsidR="00617B56" w:rsidRDefault="00DD67AA">
      <w:pPr>
        <w:kinsoku w:val="0"/>
        <w:overflowPunct w:val="0"/>
        <w:autoSpaceDE/>
        <w:autoSpaceDN/>
        <w:adjustRightInd/>
        <w:spacing w:line="228" w:lineRule="exact"/>
        <w:ind w:left="792" w:right="576"/>
        <w:jc w:val="both"/>
        <w:textAlignment w:val="baseline"/>
        <w:rPr>
          <w:rFonts w:ascii="Arial" w:hAnsi="Arial" w:cs="Arial"/>
          <w:i/>
          <w:iCs/>
          <w:spacing w:val="-1"/>
          <w:lang w:val="es-ES" w:eastAsia="es-ES"/>
        </w:rPr>
      </w:pPr>
      <w:r>
        <w:rPr>
          <w:rFonts w:ascii="Arial" w:hAnsi="Arial" w:cs="Arial"/>
          <w:i/>
          <w:iCs/>
          <w:spacing w:val="-1"/>
          <w:lang w:val="es-ES" w:eastAsia="es-ES"/>
        </w:rPr>
        <w:t>`Este principio significa que los actos y comportamientos de la Administración deben estar regulados por norma escrita, lo que significa desde luego, el sometimiento a la Constitución y a la ley, preferentemente, y en general a todas las normas del ordenamiento jurídicos - reglamentos ejecutivos y autónomos especialmente; o sea, en última instancia, a lo que se conoce como el 'principio de juridicidad de la Administración'. En este sentido es claro que, frente a un acto ilícito o inválido, la Administración tiene, no solo el deber sino la obligación, de hacer lo que esté a su alcance para enderezar la situación.'</w:t>
      </w:r>
    </w:p>
    <w:p w:rsidR="00617B56" w:rsidRDefault="00DD67AA">
      <w:pPr>
        <w:kinsoku w:val="0"/>
        <w:overflowPunct w:val="0"/>
        <w:autoSpaceDE/>
        <w:autoSpaceDN/>
        <w:adjustRightInd/>
        <w:spacing w:before="303" w:line="230" w:lineRule="exact"/>
        <w:ind w:left="792" w:right="576"/>
        <w:jc w:val="both"/>
        <w:textAlignment w:val="baseline"/>
        <w:rPr>
          <w:rFonts w:ascii="Arial" w:hAnsi="Arial" w:cs="Arial"/>
          <w:spacing w:val="-3"/>
          <w:lang w:val="es-ES" w:eastAsia="es-ES"/>
        </w:rPr>
      </w:pPr>
      <w:r>
        <w:rPr>
          <w:rFonts w:ascii="Arial" w:hAnsi="Arial" w:cs="Arial"/>
          <w:i/>
          <w:iCs/>
          <w:spacing w:val="-3"/>
          <w:lang w:val="es-ES" w:eastAsia="es-ES"/>
        </w:rPr>
        <w:t xml:space="preserve">En síntesis, el principio de legalidad constituye un presupuesto esencial del Estado de Derecho y, por ende, del sistema democrático. Ergo, ningún ente ni órgano, que conforma la Administración Pública, puede actuar si no existe una norma del ordenamiento jurídico que lo </w:t>
      </w:r>
      <w:proofErr w:type="gramStart"/>
      <w:r>
        <w:rPr>
          <w:rFonts w:ascii="Arial" w:hAnsi="Arial" w:cs="Arial"/>
          <w:i/>
          <w:iCs/>
          <w:spacing w:val="-3"/>
          <w:lang w:val="es-ES" w:eastAsia="es-ES"/>
        </w:rPr>
        <w:t>habilite.</w:t>
      </w:r>
      <w:r>
        <w:rPr>
          <w:rFonts w:ascii="Verdana" w:hAnsi="Verdana" w:cs="Verdana"/>
          <w:i/>
          <w:iCs/>
          <w:spacing w:val="-3"/>
          <w:vertAlign w:val="superscript"/>
          <w:lang w:val="es-ES" w:eastAsia="es-ES"/>
        </w:rPr>
        <w:t>-</w:t>
      </w:r>
      <w:proofErr w:type="gramEnd"/>
      <w:r>
        <w:rPr>
          <w:b/>
          <w:bCs/>
          <w:spacing w:val="-3"/>
          <w:sz w:val="22"/>
          <w:szCs w:val="22"/>
          <w:lang w:val="es-ES" w:eastAsia="es-ES"/>
        </w:rPr>
        <w:t xml:space="preserve"> (Pronunciamiento de la Procuraduría General de la República N. C</w:t>
      </w:r>
      <w:r>
        <w:rPr>
          <w:b/>
          <w:bCs/>
          <w:spacing w:val="-3"/>
          <w:sz w:val="22"/>
          <w:szCs w:val="22"/>
          <w:lang w:val="es-ES" w:eastAsia="es-ES"/>
        </w:rPr>
        <w:softHyphen/>
        <w:t xml:space="preserve">448-2006 9 de noviembre de 2006). </w:t>
      </w:r>
      <w:r>
        <w:rPr>
          <w:rFonts w:ascii="Arial" w:hAnsi="Arial" w:cs="Arial"/>
          <w:spacing w:val="-3"/>
          <w:lang w:val="es-ES" w:eastAsia="es-ES"/>
        </w:rPr>
        <w:t>(Lo subrayado no es del original).</w:t>
      </w:r>
    </w:p>
    <w:p w:rsidR="00617B56" w:rsidRDefault="00DD67AA">
      <w:pPr>
        <w:kinsoku w:val="0"/>
        <w:overflowPunct w:val="0"/>
        <w:autoSpaceDE/>
        <w:autoSpaceDN/>
        <w:adjustRightInd/>
        <w:spacing w:before="260" w:line="280" w:lineRule="exact"/>
        <w:ind w:left="144"/>
        <w:textAlignment w:val="baseline"/>
        <w:rPr>
          <w:rFonts w:ascii="Verdana" w:hAnsi="Verdana" w:cs="Verdana"/>
          <w:b/>
          <w:bCs/>
          <w:sz w:val="22"/>
          <w:szCs w:val="22"/>
          <w:lang w:val="es-ES" w:eastAsia="es-ES"/>
        </w:rPr>
      </w:pPr>
      <w:r>
        <w:rPr>
          <w:rFonts w:ascii="Verdana" w:hAnsi="Verdana" w:cs="Verdana"/>
          <w:b/>
          <w:bCs/>
          <w:sz w:val="22"/>
          <w:szCs w:val="22"/>
          <w:lang w:val="es-ES" w:eastAsia="es-ES"/>
        </w:rPr>
        <w:t>DE LA MOTIVACIÓN DE LOS ACTOS ADMINISTRATIVOS</w:t>
      </w:r>
    </w:p>
    <w:p w:rsidR="00617B56" w:rsidRDefault="00DD67AA">
      <w:pPr>
        <w:kinsoku w:val="0"/>
        <w:overflowPunct w:val="0"/>
        <w:autoSpaceDE/>
        <w:autoSpaceDN/>
        <w:adjustRightInd/>
        <w:spacing w:before="263" w:line="268"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617B56" w:rsidRDefault="00DD67AA">
      <w:pPr>
        <w:kinsoku w:val="0"/>
        <w:overflowPunct w:val="0"/>
        <w:autoSpaceDE/>
        <w:autoSpaceDN/>
        <w:adjustRightInd/>
        <w:spacing w:before="260" w:line="268" w:lineRule="exact"/>
        <w:ind w:left="144"/>
        <w:jc w:val="both"/>
        <w:textAlignment w:val="baseline"/>
        <w:rPr>
          <w:rFonts w:ascii="Verdana" w:hAnsi="Verdana" w:cs="Verdana"/>
          <w:spacing w:val="10"/>
          <w:sz w:val="22"/>
          <w:szCs w:val="22"/>
          <w:lang w:val="es-ES" w:eastAsia="es-ES"/>
        </w:rPr>
      </w:pPr>
      <w:r>
        <w:rPr>
          <w:rFonts w:ascii="Verdana" w:hAnsi="Verdana" w:cs="Verdana"/>
          <w:spacing w:val="10"/>
          <w:sz w:val="22"/>
          <w:szCs w:val="22"/>
          <w:lang w:val="es-ES" w:eastAsia="es-ES"/>
        </w:rPr>
        <w:t>Lo anterior, solo se logra a través de la motivación, pues es allí donde la</w:t>
      </w:r>
    </w:p>
    <w:p w:rsidR="00617B56" w:rsidRDefault="00DD67AA">
      <w:pPr>
        <w:kinsoku w:val="0"/>
        <w:overflowPunct w:val="0"/>
        <w:autoSpaceDE/>
        <w:autoSpaceDN/>
        <w:adjustRightInd/>
        <w:spacing w:before="2" w:line="268"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Administración, podrá justificar de manera, lógica, técnica, científica o jurídicamente la decisión que ha de adoptar.</w:t>
      </w:r>
    </w:p>
    <w:p w:rsidR="00617B56" w:rsidRDefault="00DD67AA">
      <w:pPr>
        <w:kinsoku w:val="0"/>
        <w:overflowPunct w:val="0"/>
        <w:autoSpaceDE/>
        <w:autoSpaceDN/>
        <w:adjustRightInd/>
        <w:spacing w:before="269" w:line="268" w:lineRule="exact"/>
        <w:ind w:left="144"/>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En el caso de los informes de los departamentos técnicos, estos deben cumplir</w:t>
      </w:r>
    </w:p>
    <w:p w:rsidR="00617B56" w:rsidRDefault="00DD67AA">
      <w:pPr>
        <w:kinsoku w:val="0"/>
        <w:overflowPunct w:val="0"/>
        <w:autoSpaceDE/>
        <w:autoSpaceDN/>
        <w:adjustRightInd/>
        <w:spacing w:line="264"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rsidR="00617B56" w:rsidRDefault="00DD67AA">
      <w:pPr>
        <w:kinsoku w:val="0"/>
        <w:overflowPunct w:val="0"/>
        <w:autoSpaceDE/>
        <w:autoSpaceDN/>
        <w:adjustRightInd/>
        <w:spacing w:before="259" w:line="268"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El Tribunal Contencioso Administrativo Sección II en su sentencia 00542 de las diez horas cincuenta minutos del veintitrés de noviembre de 2007 indicó:</w:t>
      </w:r>
    </w:p>
    <w:p w:rsidR="00617B56" w:rsidRDefault="00DD67AA">
      <w:pPr>
        <w:kinsoku w:val="0"/>
        <w:overflowPunct w:val="0"/>
        <w:autoSpaceDE/>
        <w:autoSpaceDN/>
        <w:adjustRightInd/>
        <w:spacing w:before="282" w:after="638" w:line="223" w:lineRule="exact"/>
        <w:ind w:left="504" w:right="576"/>
        <w:jc w:val="both"/>
        <w:textAlignment w:val="baseline"/>
        <w:rPr>
          <w:rFonts w:ascii="Verdana" w:hAnsi="Verdana" w:cs="Verdana"/>
          <w:i/>
          <w:iCs/>
          <w:spacing w:val="-3"/>
          <w:sz w:val="18"/>
          <w:szCs w:val="18"/>
          <w:lang w:val="es-ES" w:eastAsia="es-ES"/>
        </w:rPr>
      </w:pPr>
      <w:r>
        <w:rPr>
          <w:rFonts w:ascii="Verdana" w:hAnsi="Verdana" w:cs="Verdana"/>
          <w:b/>
          <w:bCs/>
          <w:i/>
          <w:iCs/>
          <w:spacing w:val="-3"/>
          <w:sz w:val="18"/>
          <w:szCs w:val="18"/>
          <w:lang w:val="es-ES" w:eastAsia="es-ES"/>
        </w:rPr>
        <w:t xml:space="preserve">"IV.- DE LA MOTIVACIÓN COMO ELEMENTO ESENCIAL DE LA ACTUACIÓN FORMAL DE LA ADMINISTRACIÓN </w:t>
      </w:r>
      <w:proofErr w:type="gramStart"/>
      <w:r>
        <w:rPr>
          <w:rFonts w:ascii="Verdana" w:hAnsi="Verdana" w:cs="Verdana"/>
          <w:b/>
          <w:bCs/>
          <w:i/>
          <w:iCs/>
          <w:spacing w:val="-3"/>
          <w:sz w:val="18"/>
          <w:szCs w:val="18"/>
          <w:lang w:val="es-ES" w:eastAsia="es-ES"/>
        </w:rPr>
        <w:t>PÚBLICA.-</w:t>
      </w:r>
      <w:proofErr w:type="gramEnd"/>
      <w:r>
        <w:rPr>
          <w:rFonts w:ascii="Verdana" w:hAnsi="Verdana" w:cs="Verdana"/>
          <w:b/>
          <w:bCs/>
          <w:i/>
          <w:iCs/>
          <w:spacing w:val="-3"/>
          <w:sz w:val="18"/>
          <w:szCs w:val="18"/>
          <w:lang w:val="es-ES" w:eastAsia="es-ES"/>
        </w:rPr>
        <w:t xml:space="preserve"> </w:t>
      </w:r>
      <w:r>
        <w:rPr>
          <w:rFonts w:ascii="Verdana" w:hAnsi="Verdana" w:cs="Verdana"/>
          <w:i/>
          <w:iCs/>
          <w:spacing w:val="-3"/>
          <w:sz w:val="18"/>
          <w:szCs w:val="18"/>
          <w:lang w:val="es-ES" w:eastAsia="es-ES"/>
        </w:rPr>
        <w:t xml:space="preserve">El </w:t>
      </w:r>
      <w:r>
        <w:rPr>
          <w:rFonts w:ascii="Verdana" w:hAnsi="Verdana" w:cs="Verdana"/>
          <w:b/>
          <w:bCs/>
          <w:i/>
          <w:iCs/>
          <w:spacing w:val="-3"/>
          <w:sz w:val="18"/>
          <w:szCs w:val="18"/>
          <w:lang w:val="es-ES" w:eastAsia="es-ES"/>
        </w:rPr>
        <w:t xml:space="preserve">primer motivo de impugnación </w:t>
      </w:r>
      <w:r>
        <w:rPr>
          <w:rFonts w:ascii="Arial" w:hAnsi="Arial" w:cs="Arial"/>
          <w:i/>
          <w:iCs/>
          <w:spacing w:val="-3"/>
          <w:lang w:val="es-ES" w:eastAsia="es-ES"/>
        </w:rPr>
        <w:t xml:space="preserve">es la </w:t>
      </w:r>
      <w:r>
        <w:rPr>
          <w:rFonts w:ascii="Verdana" w:hAnsi="Verdana" w:cs="Verdana"/>
          <w:b/>
          <w:bCs/>
          <w:i/>
          <w:iCs/>
          <w:spacing w:val="-3"/>
          <w:sz w:val="18"/>
          <w:szCs w:val="18"/>
          <w:lang w:val="es-ES" w:eastAsia="es-ES"/>
        </w:rPr>
        <w:t xml:space="preserve">falta de fundamentación e incongruencia de la resolución administrativa impugnada . </w:t>
      </w:r>
      <w:r>
        <w:rPr>
          <w:rFonts w:ascii="Verdana" w:hAnsi="Verdana" w:cs="Verdana"/>
          <w:i/>
          <w:iCs/>
          <w:spacing w:val="-3"/>
          <w:sz w:val="18"/>
          <w:szCs w:val="18"/>
          <w:lang w:val="es-ES" w:eastAsia="es-ES"/>
        </w:rPr>
        <w:t xml:space="preserve">En efecto, cabe advertir que la existencia y validez de todo acto administrativo depende de la concurrencia de varios elementos esenciales, impuestos por el ordenamiento jurídico, que para una mayor comprensión, pueden clasificarse en </w:t>
      </w:r>
      <w:r>
        <w:rPr>
          <w:rFonts w:ascii="Verdana" w:hAnsi="Verdana" w:cs="Verdana"/>
          <w:b/>
          <w:bCs/>
          <w:i/>
          <w:iCs/>
          <w:spacing w:val="-3"/>
          <w:sz w:val="18"/>
          <w:szCs w:val="18"/>
          <w:u w:val="single"/>
          <w:lang w:val="es-ES" w:eastAsia="es-ES"/>
        </w:rPr>
        <w:t xml:space="preserve">materiales </w:t>
      </w:r>
      <w:r>
        <w:rPr>
          <w:rFonts w:ascii="Verdana" w:hAnsi="Verdana" w:cs="Verdana"/>
          <w:b/>
          <w:bCs/>
          <w:i/>
          <w:iCs/>
          <w:spacing w:val="-3"/>
          <w:sz w:val="18"/>
          <w:szCs w:val="18"/>
          <w:lang w:val="es-ES" w:eastAsia="es-ES"/>
        </w:rPr>
        <w:t xml:space="preserve">, </w:t>
      </w:r>
      <w:r>
        <w:rPr>
          <w:rFonts w:ascii="Verdana" w:hAnsi="Verdana" w:cs="Verdana"/>
          <w:i/>
          <w:iCs/>
          <w:spacing w:val="-3"/>
          <w:sz w:val="18"/>
          <w:szCs w:val="18"/>
          <w:lang w:val="es-ES" w:eastAsia="es-ES"/>
        </w:rPr>
        <w:t xml:space="preserve">relativos a los </w:t>
      </w:r>
      <w:r>
        <w:rPr>
          <w:rFonts w:ascii="Verdana" w:hAnsi="Verdana" w:cs="Verdana"/>
          <w:b/>
          <w:bCs/>
          <w:i/>
          <w:iCs/>
          <w:spacing w:val="-3"/>
          <w:sz w:val="18"/>
          <w:szCs w:val="18"/>
          <w:lang w:val="es-ES" w:eastAsia="es-ES"/>
        </w:rPr>
        <w:t xml:space="preserve">elementos subjetivos ( </w:t>
      </w:r>
      <w:r>
        <w:rPr>
          <w:rFonts w:ascii="Verdana" w:hAnsi="Verdana" w:cs="Verdana"/>
          <w:i/>
          <w:iCs/>
          <w:spacing w:val="-3"/>
          <w:sz w:val="18"/>
          <w:szCs w:val="18"/>
          <w:lang w:val="es-ES" w:eastAsia="es-ES"/>
        </w:rPr>
        <w:t xml:space="preserve">competencia, legitimación e investidura ), </w:t>
      </w:r>
      <w:r>
        <w:rPr>
          <w:rFonts w:ascii="Verdana" w:hAnsi="Verdana" w:cs="Verdana"/>
          <w:b/>
          <w:bCs/>
          <w:i/>
          <w:iCs/>
          <w:spacing w:val="-3"/>
          <w:sz w:val="18"/>
          <w:szCs w:val="18"/>
          <w:lang w:val="es-ES" w:eastAsia="es-ES"/>
        </w:rPr>
        <w:t xml:space="preserve">objetivos ( </w:t>
      </w:r>
      <w:r>
        <w:rPr>
          <w:rFonts w:ascii="Verdana" w:hAnsi="Verdana" w:cs="Verdana"/>
          <w:i/>
          <w:iCs/>
          <w:spacing w:val="-3"/>
          <w:sz w:val="18"/>
          <w:szCs w:val="18"/>
          <w:lang w:val="es-ES" w:eastAsia="es-ES"/>
        </w:rPr>
        <w:t xml:space="preserve">fin, contenido y motivo -artículos 131, 132 y 133 de la Ley General de la Administración Pública y 49 de la Constitución Política) y </w:t>
      </w:r>
      <w:r>
        <w:rPr>
          <w:rFonts w:ascii="Verdana" w:hAnsi="Verdana" w:cs="Verdana"/>
          <w:b/>
          <w:bCs/>
          <w:i/>
          <w:iCs/>
          <w:spacing w:val="-3"/>
          <w:sz w:val="18"/>
          <w:szCs w:val="18"/>
          <w:u w:val="single"/>
          <w:lang w:val="es-ES" w:eastAsia="es-ES"/>
        </w:rPr>
        <w:t xml:space="preserve">formales </w:t>
      </w:r>
      <w:r>
        <w:rPr>
          <w:rFonts w:ascii="Verdana" w:hAnsi="Verdana" w:cs="Verdana"/>
          <w:b/>
          <w:bCs/>
          <w:i/>
          <w:iCs/>
          <w:spacing w:val="-3"/>
          <w:sz w:val="18"/>
          <w:szCs w:val="18"/>
          <w:lang w:val="es-ES" w:eastAsia="es-ES"/>
        </w:rPr>
        <w:t xml:space="preserve">, </w:t>
      </w:r>
      <w:r>
        <w:rPr>
          <w:rFonts w:ascii="Verdana" w:hAnsi="Verdana" w:cs="Verdana"/>
          <w:i/>
          <w:iCs/>
          <w:spacing w:val="-3"/>
          <w:sz w:val="18"/>
          <w:szCs w:val="18"/>
          <w:lang w:val="es-ES" w:eastAsia="es-ES"/>
        </w:rPr>
        <w:t>comprensivos de los forma en que se adopta el acto, sea, el medio de expresión o manifestación (instrumentación), la motivación o fundamentación (artículo 136 de la citada Ley General) y el procedimiento seguido para su adopción (artículos 214 y 308 de la Ley General de la Administración Pública y 39 y 41 de la Constitución). La motivación consiste "... en una declaración de</w:t>
      </w:r>
    </w:p>
    <w:p w:rsidR="00617B56" w:rsidRDefault="00617B56">
      <w:pPr>
        <w:widowControl/>
        <w:rPr>
          <w:sz w:val="24"/>
          <w:szCs w:val="24"/>
        </w:rPr>
        <w:sectPr w:rsidR="00617B56">
          <w:pgSz w:w="12322" w:h="15821"/>
          <w:pgMar w:top="1400" w:right="1522" w:bottom="245" w:left="1551" w:header="720" w:footer="720" w:gutter="0"/>
          <w:cols w:space="720"/>
          <w:noEndnote/>
        </w:sectPr>
      </w:pPr>
    </w:p>
    <w:p w:rsidR="00617B56" w:rsidRDefault="00DD67AA">
      <w:pPr>
        <w:kinsoku w:val="0"/>
        <w:overflowPunct w:val="0"/>
        <w:autoSpaceDE/>
        <w:autoSpaceDN/>
        <w:adjustRightInd/>
        <w:spacing w:before="25" w:line="219" w:lineRule="exact"/>
        <w:ind w:left="504" w:right="504"/>
        <w:jc w:val="both"/>
        <w:textAlignment w:val="baseline"/>
        <w:rPr>
          <w:i/>
          <w:iCs/>
          <w:sz w:val="18"/>
          <w:szCs w:val="18"/>
          <w:lang w:val="es-ES" w:eastAsia="es-ES"/>
        </w:rPr>
      </w:pPr>
      <w:r>
        <w:rPr>
          <w:rFonts w:ascii="Verdana" w:hAnsi="Verdana" w:cs="Verdana"/>
          <w:i/>
          <w:iCs/>
          <w:sz w:val="18"/>
          <w:szCs w:val="18"/>
          <w:lang w:val="es-ES" w:eastAsia="es-ES"/>
        </w:rPr>
        <w:t xml:space="preserve">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 (JINESTA L080, Ernesto. </w:t>
      </w:r>
      <w:r>
        <w:rPr>
          <w:rFonts w:ascii="Verdana" w:hAnsi="Verdana" w:cs="Verdana"/>
          <w:i/>
          <w:iCs/>
          <w:sz w:val="18"/>
          <w:szCs w:val="18"/>
          <w:u w:val="single"/>
          <w:lang w:val="es-ES" w:eastAsia="es-ES"/>
        </w:rPr>
        <w:t xml:space="preserve">Tratado de Derecho </w:t>
      </w:r>
      <w:proofErr w:type="gramStart"/>
      <w:r>
        <w:rPr>
          <w:rFonts w:ascii="Verdana" w:hAnsi="Verdana" w:cs="Verdana"/>
          <w:i/>
          <w:iCs/>
          <w:sz w:val="18"/>
          <w:szCs w:val="18"/>
          <w:u w:val="single"/>
          <w:lang w:val="es-ES" w:eastAsia="es-ES"/>
        </w:rPr>
        <w:t xml:space="preserve">Administrativo </w:t>
      </w:r>
      <w:r>
        <w:rPr>
          <w:rFonts w:ascii="Verdana" w:hAnsi="Verdana" w:cs="Verdana"/>
          <w:i/>
          <w:iCs/>
          <w:sz w:val="18"/>
          <w:szCs w:val="18"/>
          <w:lang w:val="es-ES" w:eastAsia="es-ES"/>
        </w:rPr>
        <w:t xml:space="preserve"> .</w:t>
      </w:r>
      <w:proofErr w:type="gramEnd"/>
      <w:r>
        <w:rPr>
          <w:rFonts w:ascii="Verdana" w:hAnsi="Verdana" w:cs="Verdana"/>
          <w:i/>
          <w:iCs/>
          <w:sz w:val="18"/>
          <w:szCs w:val="18"/>
          <w:lang w:val="es-ES" w:eastAsia="es-ES"/>
        </w:rPr>
        <w:t xml:space="preserve"> Tomo I. (Parte General). Biblioteca Jurídica Dike. Primera edición. </w:t>
      </w:r>
      <w:proofErr w:type="gramStart"/>
      <w:r>
        <w:rPr>
          <w:rFonts w:ascii="Verdana" w:hAnsi="Verdana" w:cs="Verdana"/>
          <w:i/>
          <w:iCs/>
          <w:sz w:val="18"/>
          <w:szCs w:val="18"/>
          <w:lang w:val="es-ES" w:eastAsia="es-ES"/>
        </w:rPr>
        <w:t>Medellín ,</w:t>
      </w:r>
      <w:proofErr w:type="gramEnd"/>
      <w:r>
        <w:rPr>
          <w:rFonts w:ascii="Verdana" w:hAnsi="Verdana" w:cs="Verdana"/>
          <w:i/>
          <w:iCs/>
          <w:sz w:val="18"/>
          <w:szCs w:val="18"/>
          <w:lang w:val="es-ES" w:eastAsia="es-ES"/>
        </w:rPr>
        <w:t xml:space="preserve"> Colombia . 2002. p. 388.) De manera que la motivación debe </w:t>
      </w:r>
      <w:r>
        <w:rPr>
          <w:rFonts w:ascii="Verdana" w:hAnsi="Verdana" w:cs="Verdana"/>
          <w:b/>
          <w:bCs/>
          <w:i/>
          <w:iCs/>
          <w:sz w:val="18"/>
          <w:szCs w:val="18"/>
          <w:lang w:val="es-ES" w:eastAsia="es-ES"/>
        </w:rPr>
        <w:t xml:space="preserve">determinar la aplicación de un concepto a las circunstancias de hecho singulares de que se trate </w:t>
      </w:r>
      <w:r>
        <w:rPr>
          <w:rFonts w:ascii="Verdana" w:hAnsi="Verdana" w:cs="Verdana"/>
          <w:i/>
          <w:iCs/>
          <w:sz w:val="18"/>
          <w:szCs w:val="18"/>
          <w:lang w:val="es-ES" w:eastAsia="es-ES"/>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r>
        <w:rPr>
          <w:rFonts w:ascii="Verdana" w:hAnsi="Verdana" w:cs="Verdana"/>
          <w:i/>
          <w:iCs/>
          <w:sz w:val="18"/>
          <w:szCs w:val="18"/>
          <w:u w:val="single"/>
          <w:lang w:val="es-ES" w:eastAsia="es-ES"/>
        </w:rPr>
        <w:t>La motivación del acto administrativo.</w:t>
      </w:r>
      <w:r>
        <w:rPr>
          <w:rFonts w:ascii="Verdana" w:hAnsi="Verdana" w:cs="Verdana"/>
          <w:i/>
          <w:iCs/>
          <w:sz w:val="18"/>
          <w:szCs w:val="18"/>
          <w:lang w:val="es-ES" w:eastAsia="es-ES"/>
        </w:rPr>
        <w:t xml:space="preserve"> (Editorial Tecnos, S. A. Madrid. 1993, página 190); es decir, se trata de una deción concreta, que liga los hechos con el sustento normativo; de manera que cuando hay una breve alusión a normas generales y hechos inespecíficos, se puede concluir que no hay aporte suficiente de justicación, en la medida en que de ellos no es posible deducir los </w:t>
      </w:r>
      <w:r>
        <w:rPr>
          <w:i/>
          <w:iCs/>
          <w:sz w:val="18"/>
          <w:szCs w:val="18"/>
          <w:lang w:val="es-ES" w:eastAsia="es-ES"/>
        </w:rPr>
        <w:t>elementos valorados por la autoridad gubernativa para tomar la decisión ... "</w:t>
      </w:r>
    </w:p>
    <w:p w:rsidR="00617B56" w:rsidRDefault="00DD67AA">
      <w:pPr>
        <w:kinsoku w:val="0"/>
        <w:overflowPunct w:val="0"/>
        <w:autoSpaceDE/>
        <w:autoSpaceDN/>
        <w:adjustRightInd/>
        <w:spacing w:before="460" w:line="265" w:lineRule="exact"/>
        <w:ind w:left="144"/>
        <w:textAlignment w:val="baseline"/>
        <w:rPr>
          <w:rFonts w:ascii="Verdana" w:hAnsi="Verdana" w:cs="Verdana"/>
          <w:b/>
          <w:bCs/>
          <w:sz w:val="22"/>
          <w:szCs w:val="22"/>
          <w:lang w:val="es-ES" w:eastAsia="es-ES"/>
        </w:rPr>
      </w:pPr>
      <w:r>
        <w:rPr>
          <w:rFonts w:ascii="Verdana" w:hAnsi="Verdana" w:cs="Verdana"/>
          <w:b/>
          <w:bCs/>
          <w:sz w:val="22"/>
          <w:szCs w:val="22"/>
          <w:lang w:val="es-ES" w:eastAsia="es-ES"/>
        </w:rPr>
        <w:t>SOBRE EL CASO CONCRETO:</w:t>
      </w:r>
    </w:p>
    <w:p w:rsidR="00617B56" w:rsidRDefault="00DD67AA">
      <w:pPr>
        <w:kinsoku w:val="0"/>
        <w:overflowPunct w:val="0"/>
        <w:autoSpaceDE/>
        <w:autoSpaceDN/>
        <w:adjustRightInd/>
        <w:spacing w:before="279" w:line="269"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En el presente asunto nos encontramos ante un hecho en el que se evidencia que se ha producido una transgresión de las obligaciones en cuanto a la prestación del servicio por parte del concesionario.</w:t>
      </w:r>
    </w:p>
    <w:p w:rsidR="00617B56" w:rsidRDefault="00DD67AA">
      <w:pPr>
        <w:kinsoku w:val="0"/>
        <w:overflowPunct w:val="0"/>
        <w:autoSpaceDE/>
        <w:autoSpaceDN/>
        <w:adjustRightInd/>
        <w:spacing w:before="268" w:line="269" w:lineRule="exact"/>
        <w:ind w:left="144" w:right="144"/>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Tanto de lo dicho por el CTP, como lo alegado por el mismo recurrente el vehículo con el cual prestaba el servicio era modelo 2000 y no realizó en el tiempo debido el cambio de unidad por el advenimiento de su vida útil, conforme lo establece el Decreto Ejecutivo Número 34103-MOPT, "Reforma al Artículo 5 del Reglamento Sobre Disposiciones Generales Que Deben Cumplir los Vehículos en la Modalidad de taxi y sus Reformas, Decreto Ejecutivo N° 32261-MOPT".</w:t>
      </w:r>
    </w:p>
    <w:p w:rsidR="00617B56" w:rsidRDefault="00DD67AA">
      <w:pPr>
        <w:kinsoku w:val="0"/>
        <w:overflowPunct w:val="0"/>
        <w:autoSpaceDE/>
        <w:autoSpaceDN/>
        <w:adjustRightInd/>
        <w:spacing w:before="268" w:line="268" w:lineRule="exact"/>
        <w:ind w:left="144" w:right="144"/>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 xml:space="preserve">El recurrente argumenta que el acuerdo impugnado que ha transcurrido más de un año desde que la Junta Directiva comisionó mediante </w:t>
      </w:r>
      <w:r>
        <w:rPr>
          <w:rFonts w:ascii="Verdana" w:hAnsi="Verdana" w:cs="Verdana"/>
          <w:b/>
          <w:bCs/>
          <w:spacing w:val="-2"/>
          <w:sz w:val="22"/>
          <w:szCs w:val="22"/>
          <w:lang w:val="es-ES" w:eastAsia="es-ES"/>
        </w:rPr>
        <w:t xml:space="preserve">acuerdo 8.1 de la sesión 10-2016 de 3 de marzo de 2016 a la Dirección de Asuntos Jurídicos, </w:t>
      </w:r>
      <w:r>
        <w:rPr>
          <w:rFonts w:ascii="Verdana" w:hAnsi="Verdana" w:cs="Verdana"/>
          <w:spacing w:val="-2"/>
          <w:sz w:val="22"/>
          <w:szCs w:val="22"/>
          <w:lang w:val="es-ES" w:eastAsia="es-ES"/>
        </w:rPr>
        <w:t xml:space="preserve">para que instruyera el respectivo procedimiento administrativo, hasta que ésta pone el informe final en conocimiento del órgano decisor, el 14 de marzo de 2017. Que es cierto que prestaba el servicio con una unidad modelo 2000 que debía ser cambiada en el año 2015, pero la misma Administración por los problemas de muchos taxistas fue aprobando prórrogas para que se efectuaran dichos cambios; en su caso presentó la solicitud de cambio en el tiempo requerido, pero los trámites se vieron truncados por problemas ajenos a él y cambios en las decisiones del mismo CTP. La Junta Directiva del Consejo de Transporte Público mediante acuerdo 8.2 de la sesión ordinaria 6-2016 de 16 de febrero de el mismo año, dio como fecha prorrogada para el cambio de unidades hasta el último día hábil del mes de junio de 2016, acuerdo que posteriormente fue completado por otros y que se constituye en un acto generador de derechos a su favor y que se fortaleza con el oficio </w:t>
      </w:r>
      <w:r>
        <w:rPr>
          <w:rFonts w:ascii="Verdana" w:hAnsi="Verdana" w:cs="Verdana"/>
          <w:b/>
          <w:bCs/>
          <w:spacing w:val="-2"/>
          <w:sz w:val="22"/>
          <w:szCs w:val="22"/>
          <w:lang w:val="es-ES" w:eastAsia="es-ES"/>
        </w:rPr>
        <w:t xml:space="preserve">DACP-TCU-2016-1184 </w:t>
      </w:r>
      <w:r>
        <w:rPr>
          <w:rFonts w:ascii="Verdana" w:hAnsi="Verdana" w:cs="Verdana"/>
          <w:spacing w:val="-2"/>
          <w:sz w:val="22"/>
          <w:szCs w:val="22"/>
          <w:lang w:val="es-ES" w:eastAsia="es-ES"/>
        </w:rPr>
        <w:t>del 2 de mayo de 2016, del departamento de Administración y</w:t>
      </w:r>
    </w:p>
    <w:p w:rsidR="00617B56" w:rsidRDefault="00617B56">
      <w:pPr>
        <w:widowControl/>
        <w:rPr>
          <w:sz w:val="24"/>
          <w:szCs w:val="24"/>
        </w:rPr>
        <w:sectPr w:rsidR="00617B56">
          <w:pgSz w:w="12317" w:h="15782"/>
          <w:pgMar w:top="1320" w:right="1548" w:bottom="246" w:left="1520" w:header="720" w:footer="720" w:gutter="0"/>
          <w:cols w:space="720"/>
          <w:noEndnote/>
        </w:sectPr>
      </w:pPr>
    </w:p>
    <w:p w:rsidR="00617B56" w:rsidRDefault="00DD67AA">
      <w:pPr>
        <w:kinsoku w:val="0"/>
        <w:overflowPunct w:val="0"/>
        <w:autoSpaceDE/>
        <w:autoSpaceDN/>
        <w:adjustRightInd/>
        <w:spacing w:line="268"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Concesiones mediante el cual se solicita al Registro Nacional autorizar la desinscripción del vehículo modelo 2000 que operaba por otro modelo 2017. En mayo del 2016 logró presentar todos los documentos requeridos para el cambio de unidad incluyendo proforma de la agencia Suzuki, empresa que le comunica el 10 de agosto de 2016 que el nuevo vehículo sale a su nombre asignándole placa particular e indicándole que se requería una modificación en un oficio el cual se presentó a solventar ante el CTP, donde se le indica de un atraso con la C.C.S.S. lo cual fue solucionada de manera inmediata.</w:t>
      </w:r>
    </w:p>
    <w:p w:rsidR="00617B56" w:rsidRDefault="00DD67AA">
      <w:pPr>
        <w:kinsoku w:val="0"/>
        <w:overflowPunct w:val="0"/>
        <w:autoSpaceDE/>
        <w:autoSpaceDN/>
        <w:adjustRightInd/>
        <w:spacing w:before="2" w:line="539" w:lineRule="exact"/>
        <w:ind w:left="144"/>
        <w:textAlignment w:val="baseline"/>
        <w:rPr>
          <w:rFonts w:ascii="Verdana" w:hAnsi="Verdana" w:cs="Verdana"/>
          <w:b/>
          <w:bCs/>
          <w:sz w:val="22"/>
          <w:szCs w:val="22"/>
          <w:lang w:val="es-ES" w:eastAsia="es-ES"/>
        </w:rPr>
      </w:pPr>
      <w:r>
        <w:rPr>
          <w:rFonts w:ascii="Verdana" w:hAnsi="Verdana" w:cs="Verdana"/>
          <w:sz w:val="22"/>
          <w:szCs w:val="22"/>
          <w:lang w:val="es-ES" w:eastAsia="es-ES"/>
        </w:rPr>
        <w:t>Sobre lo dicho anteriormente, debemos indicar lo siguiente:</w:t>
      </w:r>
      <w:r>
        <w:rPr>
          <w:rFonts w:ascii="Verdana" w:hAnsi="Verdana" w:cs="Verdana"/>
          <w:sz w:val="22"/>
          <w:szCs w:val="22"/>
          <w:lang w:val="es-ES" w:eastAsia="es-ES"/>
        </w:rPr>
        <w:br/>
      </w:r>
      <w:r>
        <w:rPr>
          <w:rFonts w:ascii="Verdana" w:hAnsi="Verdana" w:cs="Verdana"/>
          <w:b/>
          <w:bCs/>
          <w:sz w:val="22"/>
          <w:szCs w:val="22"/>
          <w:lang w:val="es-ES" w:eastAsia="es-ES"/>
        </w:rPr>
        <w:t>En cuanto a la alegada Caducidad del procedimiento</w:t>
      </w:r>
    </w:p>
    <w:p w:rsidR="00617B56" w:rsidRDefault="00DD67AA">
      <w:pPr>
        <w:kinsoku w:val="0"/>
        <w:overflowPunct w:val="0"/>
        <w:autoSpaceDE/>
        <w:autoSpaceDN/>
        <w:adjustRightInd/>
        <w:spacing w:before="254" w:line="270"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Por ser de especial pronunciamiento, este Tribunal se refiere a lo alegado por el recurrente en cuanto a que ha operado, la caducidad en el presente procedimiento, ya que según su dicho entre el momento en que la Junta Directiva comisionó mediante </w:t>
      </w:r>
      <w:r>
        <w:rPr>
          <w:rFonts w:ascii="Verdana" w:hAnsi="Verdana" w:cs="Verdana"/>
          <w:b/>
          <w:bCs/>
          <w:sz w:val="22"/>
          <w:szCs w:val="22"/>
          <w:lang w:val="es-ES" w:eastAsia="es-ES"/>
        </w:rPr>
        <w:t xml:space="preserve">acuerdo 8.1 de la sesión 10-2016 de 3 de marzo de 2016 a la Dirección de Asuntos Jurídicos, </w:t>
      </w:r>
      <w:r>
        <w:rPr>
          <w:rFonts w:ascii="Verdana" w:hAnsi="Verdana" w:cs="Verdana"/>
          <w:sz w:val="22"/>
          <w:szCs w:val="22"/>
          <w:lang w:val="es-ES" w:eastAsia="es-ES"/>
        </w:rPr>
        <w:t>para que instruyera el respectivo procedimiento administrativo, hasta que ésta pone el informe final en conocimiento del órgano decisor, el 14 de marzo de 2017, transcurrió más de un año.</w:t>
      </w:r>
    </w:p>
    <w:p w:rsidR="00617B56" w:rsidRDefault="00DD67AA">
      <w:pPr>
        <w:kinsoku w:val="0"/>
        <w:overflowPunct w:val="0"/>
        <w:autoSpaceDE/>
        <w:autoSpaceDN/>
        <w:adjustRightInd/>
        <w:spacing w:before="261" w:line="270"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Debe quedar claro, que la Administración responde como un todo, ante las diferentes rigurosidades que impone la normativa vigente en la gran variedad de actividad desplegada por ésta. El procedimiento administrativo debe ser sustanciado de la manera más diligente posible y deben cuidarse los plazos para que no sea que por el advenimiento de un plazo como el de caducidad se pierda el poder de acción de la Administración contra un concesionario que ha incumplido con sus deberes.</w:t>
      </w:r>
    </w:p>
    <w:p w:rsidR="00617B56" w:rsidRDefault="00DD67AA">
      <w:pPr>
        <w:kinsoku w:val="0"/>
        <w:overflowPunct w:val="0"/>
        <w:autoSpaceDE/>
        <w:autoSpaceDN/>
        <w:adjustRightInd/>
        <w:spacing w:before="227" w:line="271"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En el presente caso, analizadas las piezas del expediente y las probanzas con que se cuenta, se tiene por demostrado fehacientemente que entre el momento de emitirse el </w:t>
      </w:r>
      <w:r>
        <w:rPr>
          <w:rFonts w:ascii="Verdana" w:hAnsi="Verdana" w:cs="Verdana"/>
          <w:b/>
          <w:bCs/>
          <w:sz w:val="22"/>
          <w:szCs w:val="22"/>
          <w:lang w:val="es-ES" w:eastAsia="es-ES"/>
        </w:rPr>
        <w:t xml:space="preserve">acuerdo 8.1 de la sesión 10-2016 de 3 de marzo de 2016 a la Dirección de Asuntos Jurídicos </w:t>
      </w:r>
      <w:r>
        <w:rPr>
          <w:rFonts w:ascii="Verdana" w:hAnsi="Verdana" w:cs="Verdana"/>
          <w:sz w:val="22"/>
          <w:szCs w:val="22"/>
          <w:lang w:val="es-ES" w:eastAsia="es-ES"/>
        </w:rPr>
        <w:t>y realizarse el primer traslado de cargo el once de noviembre de 2016 (ver folio 56 del expediente), el caso estuvo inactivo por más de seis meses.</w:t>
      </w:r>
    </w:p>
    <w:p w:rsidR="00617B56" w:rsidRDefault="00DD67AA">
      <w:pPr>
        <w:kinsoku w:val="0"/>
        <w:overflowPunct w:val="0"/>
        <w:autoSpaceDE/>
        <w:autoSpaceDN/>
        <w:adjustRightInd/>
        <w:spacing w:before="227" w:line="287"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La Ley General de la Administración Pública sobre la caducidad dispone en su numeral 340 lo siguiente:</w:t>
      </w:r>
    </w:p>
    <w:p w:rsidR="00617B56" w:rsidRDefault="00DD67AA">
      <w:pPr>
        <w:kinsoku w:val="0"/>
        <w:overflowPunct w:val="0"/>
        <w:autoSpaceDE/>
        <w:autoSpaceDN/>
        <w:adjustRightInd/>
        <w:spacing w:before="269" w:line="208" w:lineRule="exact"/>
        <w:ind w:left="576"/>
        <w:textAlignment w:val="baseline"/>
        <w:rPr>
          <w:rFonts w:ascii="Verdana" w:hAnsi="Verdana" w:cs="Verdana"/>
          <w:sz w:val="24"/>
          <w:szCs w:val="24"/>
          <w:lang w:eastAsia="en-US"/>
        </w:rPr>
      </w:pPr>
      <w:r>
        <w:rPr>
          <w:rFonts w:ascii="Verdana" w:hAnsi="Verdana" w:cs="Verdana"/>
          <w:spacing w:val="-5"/>
          <w:sz w:val="17"/>
          <w:szCs w:val="17"/>
          <w:lang w:val="es-ES" w:eastAsia="es-ES"/>
        </w:rPr>
        <w:t xml:space="preserve">"Artículo </w:t>
      </w:r>
      <w:proofErr w:type="gramStart"/>
      <w:r>
        <w:rPr>
          <w:rFonts w:ascii="Verdana" w:hAnsi="Verdana" w:cs="Verdana"/>
          <w:spacing w:val="-5"/>
          <w:sz w:val="17"/>
          <w:szCs w:val="17"/>
          <w:lang w:val="es-ES" w:eastAsia="es-ES"/>
        </w:rPr>
        <w:t>340.</w:t>
      </w:r>
      <w:r>
        <w:rPr>
          <w:rFonts w:ascii="Verdana" w:hAnsi="Verdana" w:cs="Verdana"/>
          <w:spacing w:val="-5"/>
          <w:sz w:val="17"/>
          <w:szCs w:val="17"/>
          <w:lang w:val="es-ES" w:eastAsia="es-ES"/>
        </w:rPr>
        <w:noBreakHyphen/>
      </w:r>
      <w:proofErr w:type="gramEnd"/>
    </w:p>
    <w:p w:rsidR="00617B56" w:rsidRDefault="00DD67AA">
      <w:pPr>
        <w:numPr>
          <w:ilvl w:val="0"/>
          <w:numId w:val="5"/>
        </w:numPr>
        <w:kinsoku w:val="0"/>
        <w:overflowPunct w:val="0"/>
        <w:autoSpaceDE/>
        <w:autoSpaceDN/>
        <w:adjustRightInd/>
        <w:spacing w:before="192" w:line="196" w:lineRule="exact"/>
        <w:ind w:right="576"/>
        <w:jc w:val="both"/>
        <w:textAlignment w:val="baseline"/>
        <w:rPr>
          <w:rFonts w:ascii="Verdana" w:hAnsi="Verdana" w:cs="Verdana"/>
          <w:spacing w:val="-7"/>
          <w:sz w:val="17"/>
          <w:szCs w:val="17"/>
          <w:lang w:val="es-ES" w:eastAsia="es-ES"/>
        </w:rPr>
      </w:pPr>
      <w:r>
        <w:rPr>
          <w:rFonts w:ascii="Verdana" w:hAnsi="Verdana" w:cs="Verdana"/>
          <w:spacing w:val="-7"/>
          <w:sz w:val="17"/>
          <w:szCs w:val="17"/>
          <w:lang w:val="es-ES" w:eastAsia="es-ES"/>
        </w:rPr>
        <w:t xml:space="preserve">Cuando el procedimiento se paralice por más de seis meses en virtud de causa, imputable exclusivamente al interesado que lo haya promovido </w:t>
      </w:r>
      <w:r>
        <w:rPr>
          <w:rFonts w:ascii="Verdana" w:hAnsi="Verdana" w:cs="Verdana"/>
          <w:b/>
          <w:bCs/>
          <w:spacing w:val="-7"/>
          <w:sz w:val="17"/>
          <w:szCs w:val="17"/>
          <w:u w:val="single"/>
          <w:lang w:val="es-ES" w:eastAsia="es-ES"/>
        </w:rPr>
        <w:t>o a la Administración que lo haya iniciado, de oficio o por denuncia,</w:t>
      </w:r>
      <w:r>
        <w:rPr>
          <w:rFonts w:ascii="Verdana" w:hAnsi="Verdana" w:cs="Verdana"/>
          <w:spacing w:val="-7"/>
          <w:sz w:val="17"/>
          <w:szCs w:val="17"/>
          <w:lang w:val="es-ES" w:eastAsia="es-ES"/>
        </w:rPr>
        <w:t xml:space="preserve"> se producirá la caducidad y se ordenará su archivo, a menos que se trate del caso previsto en el párrafo final del artículo 339 de este Código.</w:t>
      </w:r>
    </w:p>
    <w:p w:rsidR="00617B56" w:rsidRDefault="00DD67AA">
      <w:pPr>
        <w:numPr>
          <w:ilvl w:val="0"/>
          <w:numId w:val="5"/>
        </w:numPr>
        <w:kinsoku w:val="0"/>
        <w:overflowPunct w:val="0"/>
        <w:autoSpaceDE/>
        <w:autoSpaceDN/>
        <w:adjustRightInd/>
        <w:spacing w:after="1007" w:line="198" w:lineRule="exact"/>
        <w:ind w:right="576"/>
        <w:jc w:val="both"/>
        <w:textAlignment w:val="baseline"/>
        <w:rPr>
          <w:rFonts w:ascii="Verdana" w:hAnsi="Verdana" w:cs="Verdana"/>
          <w:spacing w:val="-7"/>
          <w:sz w:val="17"/>
          <w:szCs w:val="17"/>
          <w:lang w:val="es-ES" w:eastAsia="es-ES"/>
        </w:rPr>
      </w:pPr>
      <w:r>
        <w:rPr>
          <w:rFonts w:ascii="Verdana" w:hAnsi="Verdana" w:cs="Verdana"/>
          <w:spacing w:val="-7"/>
          <w:sz w:val="17"/>
          <w:szCs w:val="17"/>
          <w:lang w:val="es-ES" w:eastAsia="es-ES"/>
        </w:rPr>
        <w:t>No procederá la caducidad del procedimiento iniciado a gestión de parte, cuando el interesado haya dejado de gestionar por haberse operado el silencio positivo o negativo, o cuando el expediente se encuentre listo para dictar el acto final.</w:t>
      </w:r>
    </w:p>
    <w:p w:rsidR="00617B56" w:rsidRDefault="00617B56">
      <w:pPr>
        <w:widowControl/>
        <w:rPr>
          <w:sz w:val="24"/>
          <w:szCs w:val="24"/>
        </w:rPr>
        <w:sectPr w:rsidR="00617B56">
          <w:pgSz w:w="12317" w:h="15782"/>
          <w:pgMar w:top="1360" w:right="1515" w:bottom="246" w:left="1553" w:header="720" w:footer="720" w:gutter="0"/>
          <w:cols w:space="720"/>
          <w:noEndnote/>
        </w:sectPr>
      </w:pPr>
    </w:p>
    <w:p w:rsidR="00617B56" w:rsidRDefault="00DD67AA">
      <w:pPr>
        <w:kinsoku w:val="0"/>
        <w:overflowPunct w:val="0"/>
        <w:autoSpaceDE/>
        <w:autoSpaceDN/>
        <w:adjustRightInd/>
        <w:spacing w:before="25" w:line="199" w:lineRule="exact"/>
        <w:ind w:left="504" w:right="576"/>
        <w:jc w:val="both"/>
        <w:textAlignment w:val="baseline"/>
        <w:rPr>
          <w:rFonts w:ascii="Verdana" w:hAnsi="Verdana" w:cs="Verdana"/>
          <w:sz w:val="16"/>
          <w:szCs w:val="16"/>
          <w:lang w:val="es-ES" w:eastAsia="es-ES"/>
        </w:rPr>
      </w:pPr>
      <w:r>
        <w:rPr>
          <w:rFonts w:ascii="Verdana" w:hAnsi="Verdana" w:cs="Verdana"/>
          <w:b/>
          <w:bCs/>
          <w:sz w:val="16"/>
          <w:szCs w:val="16"/>
          <w:lang w:val="es-ES" w:eastAsia="es-ES"/>
        </w:rPr>
        <w:t xml:space="preserve">3) </w:t>
      </w:r>
      <w:r>
        <w:rPr>
          <w:rFonts w:ascii="Verdana" w:hAnsi="Verdana" w:cs="Verdana"/>
          <w:sz w:val="16"/>
          <w:szCs w:val="16"/>
          <w:lang w:val="es-ES" w:eastAsia="es-ES"/>
        </w:rPr>
        <w:t>La caducidad del procedimiento administrativo no extingue el derecho de las partes; pero los procedimientos se tienen por no seguidos, para los efectos de interrumpir la prescripción."(el resaltado es nuestro)</w:t>
      </w:r>
    </w:p>
    <w:p w:rsidR="00617B56" w:rsidRPr="00462336" w:rsidRDefault="00DD67AA">
      <w:pPr>
        <w:kinsoku w:val="0"/>
        <w:overflowPunct w:val="0"/>
        <w:autoSpaceDE/>
        <w:autoSpaceDN/>
        <w:adjustRightInd/>
        <w:spacing w:before="555" w:line="269" w:lineRule="exact"/>
        <w:ind w:left="144" w:right="144"/>
        <w:jc w:val="both"/>
        <w:textAlignment w:val="baseline"/>
        <w:rPr>
          <w:rFonts w:ascii="Verdana" w:hAnsi="Verdana" w:cs="Verdana"/>
          <w:spacing w:val="11"/>
          <w:sz w:val="22"/>
          <w:lang w:val="es-ES" w:eastAsia="es-ES"/>
        </w:rPr>
      </w:pPr>
      <w:r w:rsidRPr="00462336">
        <w:rPr>
          <w:rFonts w:ascii="Verdana" w:hAnsi="Verdana" w:cs="Verdana"/>
          <w:spacing w:val="11"/>
          <w:sz w:val="22"/>
          <w:lang w:val="es-ES" w:eastAsia="es-ES"/>
        </w:rPr>
        <w:t>No obstante, lo indicado anteriormente, revisado que fuera el expediente administrativo, no se ha podido comprobar que el recurrente haya invocado la excepción de caducidad ante la Administración antes del dictado del acto final, presupuesto requerido para poder declararse en esta sede tal instituto.</w:t>
      </w:r>
    </w:p>
    <w:p w:rsidR="00617B56" w:rsidRPr="00462336" w:rsidRDefault="00DD67AA">
      <w:pPr>
        <w:kinsoku w:val="0"/>
        <w:overflowPunct w:val="0"/>
        <w:autoSpaceDE/>
        <w:autoSpaceDN/>
        <w:adjustRightInd/>
        <w:spacing w:before="221" w:line="277" w:lineRule="exact"/>
        <w:ind w:left="144" w:right="144"/>
        <w:jc w:val="both"/>
        <w:textAlignment w:val="baseline"/>
        <w:rPr>
          <w:rFonts w:ascii="Verdana" w:hAnsi="Verdana" w:cs="Verdana"/>
          <w:spacing w:val="9"/>
          <w:sz w:val="22"/>
          <w:lang w:val="es-ES" w:eastAsia="es-ES"/>
        </w:rPr>
      </w:pPr>
      <w:r w:rsidRPr="00462336">
        <w:rPr>
          <w:rFonts w:ascii="Verdana" w:hAnsi="Verdana" w:cs="Verdana"/>
          <w:spacing w:val="9"/>
          <w:sz w:val="22"/>
          <w:lang w:val="es-ES" w:eastAsia="es-ES"/>
        </w:rPr>
        <w:t xml:space="preserve">Para que pueda decretarse la caducidad del procedimiento deben cumplirse varios presupuestos a saber, que el </w:t>
      </w:r>
      <w:r w:rsidRPr="00462336">
        <w:rPr>
          <w:rFonts w:ascii="Verdana" w:hAnsi="Verdana" w:cs="Verdana"/>
          <w:b/>
          <w:bCs/>
          <w:spacing w:val="9"/>
          <w:sz w:val="22"/>
          <w:lang w:val="es-ES" w:eastAsia="es-ES"/>
        </w:rPr>
        <w:t xml:space="preserve">procedimiento </w:t>
      </w:r>
      <w:r w:rsidRPr="00462336">
        <w:rPr>
          <w:rFonts w:ascii="Verdana" w:hAnsi="Verdana" w:cs="Verdana"/>
          <w:spacing w:val="9"/>
          <w:sz w:val="22"/>
          <w:lang w:val="es-ES" w:eastAsia="es-ES"/>
        </w:rPr>
        <w:t>se paralice por un lapso superior a los seis meses; no se haya dictado acto final y la inercia sea achacable a quien gestionó el procedimiento sea el administrado o como en el presente caso la Administración.</w:t>
      </w:r>
    </w:p>
    <w:p w:rsidR="00617B56" w:rsidRPr="00462336" w:rsidRDefault="00DD67AA">
      <w:pPr>
        <w:kinsoku w:val="0"/>
        <w:overflowPunct w:val="0"/>
        <w:autoSpaceDE/>
        <w:autoSpaceDN/>
        <w:adjustRightInd/>
        <w:spacing w:before="263" w:line="268" w:lineRule="exact"/>
        <w:ind w:left="144" w:right="144"/>
        <w:jc w:val="both"/>
        <w:textAlignment w:val="baseline"/>
        <w:rPr>
          <w:rFonts w:ascii="Verdana" w:hAnsi="Verdana" w:cs="Verdana"/>
          <w:spacing w:val="12"/>
          <w:sz w:val="22"/>
          <w:lang w:val="es-ES" w:eastAsia="es-ES"/>
        </w:rPr>
      </w:pPr>
      <w:r w:rsidRPr="00462336">
        <w:rPr>
          <w:rFonts w:ascii="Verdana" w:hAnsi="Verdana" w:cs="Verdana"/>
          <w:spacing w:val="12"/>
          <w:sz w:val="22"/>
          <w:lang w:val="es-ES" w:eastAsia="es-ES"/>
        </w:rPr>
        <w:t xml:space="preserve">El Tribunal de Casación Contencioso Administrativo y Civil de Hacienda, en su sentencia </w:t>
      </w:r>
      <w:r w:rsidRPr="00462336">
        <w:rPr>
          <w:rFonts w:ascii="Verdana" w:hAnsi="Verdana" w:cs="Verdana"/>
          <w:b/>
          <w:bCs/>
          <w:spacing w:val="12"/>
          <w:sz w:val="22"/>
          <w:lang w:val="es-ES" w:eastAsia="es-ES"/>
        </w:rPr>
        <w:t xml:space="preserve">00123 de las nueve horas cinco minutos de 12 de noviembre de dos mil quince </w:t>
      </w:r>
      <w:r w:rsidRPr="00462336">
        <w:rPr>
          <w:rFonts w:ascii="Verdana" w:hAnsi="Verdana" w:cs="Verdana"/>
          <w:spacing w:val="12"/>
          <w:sz w:val="22"/>
          <w:lang w:val="es-ES" w:eastAsia="es-ES"/>
        </w:rPr>
        <w:t>respecto al tema de la caducidad indicó:</w:t>
      </w:r>
    </w:p>
    <w:p w:rsidR="00617B56" w:rsidRDefault="00DD67AA">
      <w:pPr>
        <w:kinsoku w:val="0"/>
        <w:overflowPunct w:val="0"/>
        <w:autoSpaceDE/>
        <w:autoSpaceDN/>
        <w:adjustRightInd/>
        <w:spacing w:before="263" w:line="280" w:lineRule="exact"/>
        <w:ind w:left="504" w:right="144"/>
        <w:jc w:val="both"/>
        <w:textAlignment w:val="baseline"/>
        <w:rPr>
          <w:rFonts w:ascii="Verdana" w:hAnsi="Verdana" w:cs="Verdana"/>
          <w:i/>
          <w:iCs/>
          <w:spacing w:val="-1"/>
          <w:lang w:val="es-ES" w:eastAsia="es-ES"/>
        </w:rPr>
      </w:pPr>
      <w:r>
        <w:rPr>
          <w:rFonts w:ascii="Verdana" w:hAnsi="Verdana" w:cs="Verdana"/>
          <w:i/>
          <w:iCs/>
          <w:spacing w:val="-1"/>
          <w:lang w:val="es-ES" w:eastAsia="es-ES"/>
        </w:rPr>
        <w:t xml:space="preserve">"IV.- El principal argumento de la parte recurrente alude a que no resulta posible declarar la </w:t>
      </w:r>
      <w:r>
        <w:rPr>
          <w:rFonts w:ascii="Verdana" w:hAnsi="Verdana" w:cs="Verdana"/>
          <w:b/>
          <w:bCs/>
          <w:i/>
          <w:iCs/>
          <w:spacing w:val="-1"/>
          <w:lang w:val="es-ES" w:eastAsia="es-ES"/>
        </w:rPr>
        <w:t xml:space="preserve">caducidad </w:t>
      </w:r>
      <w:r>
        <w:rPr>
          <w:rFonts w:ascii="Verdana" w:hAnsi="Verdana" w:cs="Verdana"/>
          <w:i/>
          <w:iCs/>
          <w:spacing w:val="-1"/>
          <w:lang w:val="es-ES" w:eastAsia="es-ES"/>
        </w:rPr>
        <w:t xml:space="preserve">del </w:t>
      </w:r>
      <w:r>
        <w:rPr>
          <w:rFonts w:ascii="Verdana" w:hAnsi="Verdana" w:cs="Verdana"/>
          <w:b/>
          <w:bCs/>
          <w:i/>
          <w:iCs/>
          <w:spacing w:val="-1"/>
          <w:lang w:val="es-ES" w:eastAsia="es-ES"/>
        </w:rPr>
        <w:t xml:space="preserve">procedimiento administrativo, </w:t>
      </w:r>
      <w:r>
        <w:rPr>
          <w:rFonts w:ascii="Verdana" w:hAnsi="Verdana" w:cs="Verdana"/>
          <w:i/>
          <w:iCs/>
          <w:spacing w:val="-1"/>
          <w:lang w:val="es-ES" w:eastAsia="es-ES"/>
        </w:rPr>
        <w:t xml:space="preserve">cuando no se hubiera aducido durante su tramitación, antes del dictado del acto final. Objeta, el Tribunal la decretara, pese a que el señor G. V.O. la alegó hasta al interponer la demanda, una vez que se había emitido la resolución de despido en su contra. Es indudable, que este instituto, se erige como un mecanismo mediante el cual se castiga la inercia por seis meses en la tramitación de un </w:t>
      </w:r>
      <w:r>
        <w:rPr>
          <w:rFonts w:ascii="Verdana" w:hAnsi="Verdana" w:cs="Verdana"/>
          <w:b/>
          <w:bCs/>
          <w:i/>
          <w:iCs/>
          <w:spacing w:val="-1"/>
          <w:lang w:val="es-ES" w:eastAsia="es-ES"/>
        </w:rPr>
        <w:t xml:space="preserve">procedimiento administrativo </w:t>
      </w:r>
      <w:r>
        <w:rPr>
          <w:rFonts w:ascii="Verdana" w:hAnsi="Verdana" w:cs="Verdana"/>
          <w:i/>
          <w:iCs/>
          <w:spacing w:val="-1"/>
          <w:lang w:val="es-ES" w:eastAsia="es-ES"/>
        </w:rPr>
        <w:t xml:space="preserve">por causa imputable al interesado, y posibilita el archivo del asunto. Consecuentemente, según lo dispone la sentencia transcrita, es un hecho jurídico que se erige como un mecanismo para imposibilitar que los </w:t>
      </w:r>
      <w:r>
        <w:rPr>
          <w:rFonts w:ascii="Verdana" w:hAnsi="Verdana" w:cs="Verdana"/>
          <w:b/>
          <w:bCs/>
          <w:i/>
          <w:iCs/>
          <w:spacing w:val="-1"/>
          <w:lang w:val="es-ES" w:eastAsia="es-ES"/>
        </w:rPr>
        <w:t xml:space="preserve">procedimientos </w:t>
      </w:r>
      <w:r>
        <w:rPr>
          <w:rFonts w:ascii="Verdana" w:hAnsi="Verdana" w:cs="Verdana"/>
          <w:i/>
          <w:iCs/>
          <w:spacing w:val="-1"/>
          <w:lang w:val="es-ES" w:eastAsia="es-ES"/>
        </w:rPr>
        <w:t xml:space="preserve">se dilaten de forma excesiva, con el propósito de resguardar la seguridad jurídica, obtener la eficiencia y continuidad de la actividad administrativa. De acuerdo con lo estipulado en el precepto 340 de la LGAP, para que se declare la </w:t>
      </w:r>
      <w:r>
        <w:rPr>
          <w:rFonts w:ascii="Verdana" w:hAnsi="Verdana" w:cs="Verdana"/>
          <w:b/>
          <w:bCs/>
          <w:i/>
          <w:iCs/>
          <w:spacing w:val="-1"/>
          <w:lang w:val="es-ES" w:eastAsia="es-ES"/>
        </w:rPr>
        <w:t xml:space="preserve">caducidad </w:t>
      </w:r>
      <w:r>
        <w:rPr>
          <w:rFonts w:ascii="Verdana" w:hAnsi="Verdana" w:cs="Verdana"/>
          <w:i/>
          <w:iCs/>
          <w:spacing w:val="-1"/>
          <w:lang w:val="es-ES" w:eastAsia="es-ES"/>
        </w:rPr>
        <w:t xml:space="preserve">de un </w:t>
      </w:r>
      <w:r>
        <w:rPr>
          <w:rFonts w:ascii="Verdana" w:hAnsi="Verdana" w:cs="Verdana"/>
          <w:b/>
          <w:bCs/>
          <w:i/>
          <w:iCs/>
          <w:spacing w:val="-1"/>
          <w:lang w:val="es-ES" w:eastAsia="es-ES"/>
        </w:rPr>
        <w:t xml:space="preserve">procedimiento, </w:t>
      </w:r>
      <w:r>
        <w:rPr>
          <w:rFonts w:ascii="Verdana" w:hAnsi="Verdana" w:cs="Verdana"/>
          <w:i/>
          <w:iCs/>
          <w:spacing w:val="-1"/>
          <w:lang w:val="es-ES" w:eastAsia="es-ES"/>
        </w:rPr>
        <w:t xml:space="preserve">han de plasmarse varios requisitos, que el </w:t>
      </w:r>
      <w:r>
        <w:rPr>
          <w:rFonts w:ascii="Verdana" w:hAnsi="Verdana" w:cs="Verdana"/>
          <w:b/>
          <w:bCs/>
          <w:i/>
          <w:iCs/>
          <w:spacing w:val="-1"/>
          <w:lang w:val="es-ES" w:eastAsia="es-ES"/>
        </w:rPr>
        <w:t xml:space="preserve">procedimiento </w:t>
      </w:r>
      <w:r>
        <w:rPr>
          <w:rFonts w:ascii="Verdana" w:hAnsi="Verdana" w:cs="Verdana"/>
          <w:i/>
          <w:iCs/>
          <w:spacing w:val="-1"/>
          <w:lang w:val="es-ES" w:eastAsia="es-ES"/>
        </w:rPr>
        <w:t xml:space="preserve">se paralice por un lapso superior a los seis meses; no se haya dictado acto final, la inercia sea achacable a quien gestionó el </w:t>
      </w:r>
      <w:r>
        <w:rPr>
          <w:rFonts w:ascii="Verdana" w:hAnsi="Verdana" w:cs="Verdana"/>
          <w:b/>
          <w:bCs/>
          <w:i/>
          <w:iCs/>
          <w:spacing w:val="-1"/>
          <w:lang w:val="es-ES" w:eastAsia="es-ES"/>
        </w:rPr>
        <w:t xml:space="preserve">procedimiento </w:t>
      </w:r>
      <w:r>
        <w:rPr>
          <w:rFonts w:ascii="Verdana" w:hAnsi="Verdana" w:cs="Verdana"/>
          <w:i/>
          <w:iCs/>
          <w:spacing w:val="-1"/>
          <w:lang w:val="es-ES" w:eastAsia="es-ES"/>
        </w:rPr>
        <w:t xml:space="preserve">(en este caso la Administración) y sea declarada (o rechazada) en el propio </w:t>
      </w:r>
      <w:r>
        <w:rPr>
          <w:rFonts w:ascii="Verdana" w:hAnsi="Verdana" w:cs="Verdana"/>
          <w:b/>
          <w:bCs/>
          <w:i/>
          <w:iCs/>
          <w:spacing w:val="-1"/>
          <w:lang w:val="es-ES" w:eastAsia="es-ES"/>
        </w:rPr>
        <w:t xml:space="preserve">procedimiento. </w:t>
      </w:r>
      <w:r>
        <w:rPr>
          <w:rFonts w:ascii="Verdana" w:hAnsi="Verdana" w:cs="Verdana"/>
          <w:i/>
          <w:iCs/>
          <w:spacing w:val="-1"/>
          <w:lang w:val="es-ES" w:eastAsia="es-ES"/>
        </w:rPr>
        <w:t xml:space="preserve">De ahí, es indispensable analizar lo acontecido en la tramitación del </w:t>
      </w:r>
      <w:r>
        <w:rPr>
          <w:rFonts w:ascii="Verdana" w:hAnsi="Verdana" w:cs="Verdana"/>
          <w:b/>
          <w:bCs/>
          <w:i/>
          <w:iCs/>
          <w:spacing w:val="-1"/>
          <w:lang w:val="es-ES" w:eastAsia="es-ES"/>
        </w:rPr>
        <w:t xml:space="preserve">procedimiento </w:t>
      </w:r>
      <w:r>
        <w:rPr>
          <w:rFonts w:ascii="Verdana" w:hAnsi="Verdana" w:cs="Verdana"/>
          <w:i/>
          <w:iCs/>
          <w:spacing w:val="-1"/>
          <w:lang w:val="es-ES" w:eastAsia="es-ES"/>
        </w:rPr>
        <w:t xml:space="preserve">a fin de constatar si como lo arguye el recurrente, no resultaba factible declarar su </w:t>
      </w:r>
      <w:r>
        <w:rPr>
          <w:rFonts w:ascii="Verdana" w:hAnsi="Verdana" w:cs="Verdana"/>
          <w:b/>
          <w:bCs/>
          <w:i/>
          <w:iCs/>
          <w:spacing w:val="-1"/>
          <w:lang w:val="es-ES" w:eastAsia="es-ES"/>
        </w:rPr>
        <w:t xml:space="preserve">caducidad. </w:t>
      </w:r>
      <w:r>
        <w:rPr>
          <w:rFonts w:ascii="Verdana" w:hAnsi="Verdana" w:cs="Verdana"/>
          <w:i/>
          <w:iCs/>
          <w:spacing w:val="-1"/>
          <w:lang w:val="es-ES" w:eastAsia="es-ES"/>
        </w:rPr>
        <w:t xml:space="preserve">En la especie, de los hechos probados 16, 17, 18, 23, 24 y 25, se aprecia, el </w:t>
      </w:r>
      <w:r>
        <w:rPr>
          <w:rFonts w:ascii="Verdana" w:hAnsi="Verdana" w:cs="Verdana"/>
          <w:b/>
          <w:bCs/>
          <w:i/>
          <w:iCs/>
          <w:spacing w:val="-1"/>
          <w:lang w:val="es-ES" w:eastAsia="es-ES"/>
        </w:rPr>
        <w:t xml:space="preserve">procedimiento administrativo </w:t>
      </w:r>
      <w:r>
        <w:rPr>
          <w:rFonts w:ascii="Verdana" w:hAnsi="Verdana" w:cs="Verdana"/>
          <w:i/>
          <w:iCs/>
          <w:spacing w:val="-1"/>
          <w:lang w:val="es-ES" w:eastAsia="es-ES"/>
        </w:rPr>
        <w:t xml:space="preserve">sancionador seguido contra el accionante, estuvo suspendido al menos en dos ocasiones, por más de seis meses. No obstante, también se observa, pese a tal inactividad, el señor V.O. en ningún momento alegó la </w:t>
      </w:r>
      <w:r>
        <w:rPr>
          <w:rFonts w:ascii="Verdana" w:hAnsi="Verdana" w:cs="Verdana"/>
          <w:b/>
          <w:bCs/>
          <w:i/>
          <w:iCs/>
          <w:spacing w:val="-1"/>
          <w:lang w:val="es-ES" w:eastAsia="es-ES"/>
        </w:rPr>
        <w:t xml:space="preserve">caducidad </w:t>
      </w:r>
      <w:r>
        <w:rPr>
          <w:rFonts w:ascii="Verdana" w:hAnsi="Verdana" w:cs="Verdana"/>
          <w:i/>
          <w:iCs/>
          <w:spacing w:val="-1"/>
          <w:lang w:val="es-ES" w:eastAsia="es-ES"/>
        </w:rPr>
        <w:t xml:space="preserve">del </w:t>
      </w:r>
      <w:r>
        <w:rPr>
          <w:rFonts w:ascii="Verdana" w:hAnsi="Verdana" w:cs="Verdana"/>
          <w:b/>
          <w:bCs/>
          <w:i/>
          <w:iCs/>
          <w:spacing w:val="-1"/>
          <w:lang w:val="es-ES" w:eastAsia="es-ES"/>
        </w:rPr>
        <w:t xml:space="preserve">procedimiento, </w:t>
      </w:r>
      <w:r>
        <w:rPr>
          <w:rFonts w:ascii="Verdana" w:hAnsi="Verdana" w:cs="Verdana"/>
          <w:i/>
          <w:iCs/>
          <w:spacing w:val="-1"/>
          <w:lang w:val="es-ES" w:eastAsia="es-ES"/>
        </w:rPr>
        <w:t xml:space="preserve">en razón de lo cual la Administración procedió a dictar el acto donde dispuso despedirlo. Es claro, se faltó al requisito establecido en la norma de comentario, a saber, que la </w:t>
      </w:r>
      <w:r>
        <w:rPr>
          <w:rFonts w:ascii="Verdana" w:hAnsi="Verdana" w:cs="Verdana"/>
          <w:b/>
          <w:bCs/>
          <w:i/>
          <w:iCs/>
          <w:spacing w:val="-1"/>
          <w:lang w:val="es-ES" w:eastAsia="es-ES"/>
        </w:rPr>
        <w:t xml:space="preserve">caducidad </w:t>
      </w:r>
      <w:r>
        <w:rPr>
          <w:rFonts w:ascii="Verdana" w:hAnsi="Verdana" w:cs="Verdana"/>
          <w:i/>
          <w:iCs/>
          <w:spacing w:val="-1"/>
          <w:lang w:val="es-ES" w:eastAsia="es-ES"/>
        </w:rPr>
        <w:t xml:space="preserve">se decretara antes del dictado del acto final o al menos hubiera sido acusada por el interesado. Según lo ha establecido este Órgano decisor, la </w:t>
      </w:r>
      <w:r>
        <w:rPr>
          <w:rFonts w:ascii="Verdana" w:hAnsi="Verdana" w:cs="Verdana"/>
          <w:b/>
          <w:bCs/>
          <w:i/>
          <w:iCs/>
          <w:spacing w:val="-1"/>
          <w:lang w:val="es-ES" w:eastAsia="es-ES"/>
        </w:rPr>
        <w:t xml:space="preserve">caducidad </w:t>
      </w:r>
      <w:r>
        <w:rPr>
          <w:rFonts w:ascii="Verdana" w:hAnsi="Verdana" w:cs="Verdana"/>
          <w:i/>
          <w:iCs/>
          <w:spacing w:val="-1"/>
          <w:lang w:val="es-ES" w:eastAsia="es-ES"/>
        </w:rPr>
        <w:t>en estos casos, constituye una</w:t>
      </w:r>
    </w:p>
    <w:p w:rsidR="00617B56" w:rsidRDefault="00617B56">
      <w:pPr>
        <w:widowControl/>
        <w:rPr>
          <w:sz w:val="24"/>
          <w:szCs w:val="24"/>
        </w:rPr>
        <w:sectPr w:rsidR="00617B56">
          <w:pgSz w:w="12331" w:h="15782"/>
          <w:pgMar w:top="1280" w:right="1543" w:bottom="286" w:left="1539" w:header="720" w:footer="720" w:gutter="0"/>
          <w:cols w:space="720"/>
          <w:noEndnote/>
        </w:sectPr>
      </w:pPr>
    </w:p>
    <w:p w:rsidR="00617B56" w:rsidRDefault="00DD67AA">
      <w:pPr>
        <w:kinsoku w:val="0"/>
        <w:overflowPunct w:val="0"/>
        <w:autoSpaceDE/>
        <w:autoSpaceDN/>
        <w:adjustRightInd/>
        <w:spacing w:line="279" w:lineRule="exact"/>
        <w:ind w:right="72"/>
        <w:jc w:val="both"/>
        <w:textAlignment w:val="baseline"/>
        <w:rPr>
          <w:rFonts w:ascii="Verdana" w:hAnsi="Verdana" w:cs="Verdana"/>
          <w:i/>
          <w:iCs/>
          <w:lang w:val="es-ES" w:eastAsia="es-ES"/>
        </w:rPr>
      </w:pPr>
      <w:r>
        <w:rPr>
          <w:rFonts w:ascii="Verdana" w:hAnsi="Verdana" w:cs="Verdana"/>
          <w:i/>
          <w:iCs/>
          <w:lang w:val="es-ES" w:eastAsia="es-ES"/>
        </w:rPr>
        <w:t xml:space="preserve">manera de finalizar el </w:t>
      </w:r>
      <w:r>
        <w:rPr>
          <w:rFonts w:ascii="Verdana" w:hAnsi="Verdana" w:cs="Verdana"/>
          <w:b/>
          <w:bCs/>
          <w:i/>
          <w:iCs/>
          <w:lang w:val="es-ES" w:eastAsia="es-ES"/>
        </w:rPr>
        <w:t xml:space="preserve">procedimiento, </w:t>
      </w:r>
      <w:r>
        <w:rPr>
          <w:rFonts w:ascii="Verdana" w:hAnsi="Verdana" w:cs="Verdana"/>
          <w:i/>
          <w:iCs/>
          <w:lang w:val="es-ES" w:eastAsia="es-ES"/>
        </w:rPr>
        <w:t xml:space="preserve">por lo que debe ser declarada para obtener dicha consecuencia. El Tribunal estimó "...se produjo la </w:t>
      </w:r>
      <w:r>
        <w:rPr>
          <w:rFonts w:ascii="Verdana" w:hAnsi="Verdana" w:cs="Verdana"/>
          <w:b/>
          <w:bCs/>
          <w:i/>
          <w:iCs/>
          <w:lang w:val="es-ES" w:eastAsia="es-ES"/>
        </w:rPr>
        <w:t xml:space="preserve">caducidad </w:t>
      </w:r>
      <w:r>
        <w:rPr>
          <w:rFonts w:ascii="Verdana" w:hAnsi="Verdana" w:cs="Verdana"/>
          <w:i/>
          <w:iCs/>
          <w:lang w:val="es-ES" w:eastAsia="es-ES"/>
        </w:rPr>
        <w:t xml:space="preserve">del trámite disciplinario, la cual es derivable de cualquiera de los dos plazos de inactividad... En consecuencia, ante la consiguiente imposibilidad de continuación del </w:t>
      </w:r>
      <w:r>
        <w:rPr>
          <w:rFonts w:ascii="Verdana" w:hAnsi="Verdana" w:cs="Verdana"/>
          <w:b/>
          <w:bCs/>
          <w:i/>
          <w:iCs/>
          <w:lang w:val="es-ES" w:eastAsia="es-ES"/>
        </w:rPr>
        <w:t xml:space="preserve">procedimiento, </w:t>
      </w:r>
      <w:r>
        <w:rPr>
          <w:rFonts w:ascii="Verdana" w:hAnsi="Verdana" w:cs="Verdana"/>
          <w:i/>
          <w:iCs/>
          <w:lang w:val="es-ES" w:eastAsia="es-ES"/>
        </w:rPr>
        <w:t xml:space="preserve">los actos subsiguientes -destacando en particular el dictado del acto final por parte del Ministro de Seguridad Pública- se ven viciados por el hecho de que el sujeto autor no estaba debidamente habilitado para su emisión, al no haberse cumplido los trámites sustanciales previstos al efecto y no haberse satisfecho los requisitos indispensables para el ejercicio de la competencia (artículo 129 de la LGAP), todo lo cual constituye una infracción sustancial declarable aún de oficio por parte del juzgador (numeral 182 ibídem)". Los jueces se fundamentaron en parte de lo dispuesto por esta Cámara en la sentencia no. 34 de las 8 horas del 20 de enero de 2011, de manera concreta al referirse a lo regulado en el cardinal 340 de la LGAP, en tanto "...se encuentra redactada en forma imperativa, es decir, no regula una facultad; por el contrario, una vez cumplidos los presupuestos de hecho en ella contenidos, la consecuencia deviene en obligatoria para el órgano encargado de la tramitación. Esto implica que sus efectos se producen de pleno derecho, y por ende su reconocimiento tiene efectos meramente declarativos, no constitutivos. Vale aclarar que lo anterior no debe ser interpretado como una pérdida de competencia -la cual es, por definición, irrenunciable, intransmisible e imprescriptible según el numeral 66 LGAP-, sino, únicamente como la imposibilidad de continuar con la tramitación del </w:t>
      </w:r>
      <w:r>
        <w:rPr>
          <w:rFonts w:ascii="Verdana" w:hAnsi="Verdana" w:cs="Verdana"/>
          <w:b/>
          <w:bCs/>
          <w:i/>
          <w:iCs/>
          <w:lang w:val="es-ES" w:eastAsia="es-ES"/>
        </w:rPr>
        <w:t xml:space="preserve">procedimiento </w:t>
      </w:r>
      <w:r>
        <w:rPr>
          <w:rFonts w:ascii="Verdana" w:hAnsi="Verdana" w:cs="Verdana"/>
          <w:i/>
          <w:iCs/>
          <w:lang w:val="es-ES" w:eastAsia="es-ES"/>
        </w:rPr>
        <w:t xml:space="preserve">específico en el que se produjo la inercia". En primer </w:t>
      </w:r>
      <w:proofErr w:type="gramStart"/>
      <w:r>
        <w:rPr>
          <w:rFonts w:ascii="Verdana" w:hAnsi="Verdana" w:cs="Verdana"/>
          <w:i/>
          <w:iCs/>
          <w:lang w:val="es-ES" w:eastAsia="es-ES"/>
        </w:rPr>
        <w:t>lugar</w:t>
      </w:r>
      <w:proofErr w:type="gramEnd"/>
      <w:r>
        <w:rPr>
          <w:rFonts w:ascii="Verdana" w:hAnsi="Verdana" w:cs="Verdana"/>
          <w:i/>
          <w:iCs/>
          <w:lang w:val="es-ES" w:eastAsia="es-ES"/>
        </w:rPr>
        <w:t xml:space="preserve"> ha de aclararse, mediante dicho fallo esta Sala no introdujo ningún cambio en su jurisprudencia, ya que no dispuso nada al respecto y tampoco puede inferirse de modo alguno. Ha de hacerse notar, en aquel asunto el</w:t>
      </w:r>
    </w:p>
    <w:p w:rsidR="00617B56" w:rsidRDefault="00DD67AA">
      <w:pPr>
        <w:tabs>
          <w:tab w:val="left" w:pos="1728"/>
          <w:tab w:val="left" w:pos="2736"/>
          <w:tab w:val="left" w:pos="4104"/>
          <w:tab w:val="left" w:pos="6768"/>
          <w:tab w:val="right" w:pos="8496"/>
        </w:tabs>
        <w:kinsoku w:val="0"/>
        <w:overflowPunct w:val="0"/>
        <w:autoSpaceDE/>
        <w:autoSpaceDN/>
        <w:adjustRightInd/>
        <w:spacing w:before="3" w:line="280" w:lineRule="exact"/>
        <w:ind w:right="72"/>
        <w:jc w:val="both"/>
        <w:textAlignment w:val="baseline"/>
        <w:rPr>
          <w:rFonts w:ascii="Verdana" w:hAnsi="Verdana" w:cs="Verdana"/>
          <w:i/>
          <w:iCs/>
          <w:lang w:val="es-ES" w:eastAsia="es-ES"/>
        </w:rPr>
      </w:pPr>
      <w:r>
        <w:rPr>
          <w:rFonts w:ascii="Verdana" w:hAnsi="Verdana" w:cs="Verdana"/>
          <w:i/>
          <w:iCs/>
          <w:lang w:val="es-ES" w:eastAsia="es-ES"/>
        </w:rPr>
        <w:t>administrado</w:t>
      </w:r>
      <w:r>
        <w:rPr>
          <w:rFonts w:ascii="Verdana" w:hAnsi="Verdana" w:cs="Verdana"/>
          <w:i/>
          <w:iCs/>
          <w:lang w:val="es-ES" w:eastAsia="es-ES"/>
        </w:rPr>
        <w:tab/>
        <w:t>había</w:t>
      </w:r>
      <w:r>
        <w:rPr>
          <w:rFonts w:ascii="Verdana" w:hAnsi="Verdana" w:cs="Verdana"/>
          <w:i/>
          <w:iCs/>
          <w:lang w:val="es-ES" w:eastAsia="es-ES"/>
        </w:rPr>
        <w:tab/>
        <w:t>solicitado</w:t>
      </w:r>
      <w:r>
        <w:rPr>
          <w:rFonts w:ascii="Verdana" w:hAnsi="Verdana" w:cs="Verdana"/>
          <w:i/>
          <w:iCs/>
          <w:lang w:val="es-ES" w:eastAsia="es-ES"/>
        </w:rPr>
        <w:tab/>
        <w:t xml:space="preserve">la </w:t>
      </w:r>
      <w:r>
        <w:rPr>
          <w:rFonts w:ascii="Verdana" w:hAnsi="Verdana" w:cs="Verdana"/>
          <w:b/>
          <w:bCs/>
          <w:i/>
          <w:iCs/>
          <w:lang w:val="es-ES" w:eastAsia="es-ES"/>
        </w:rPr>
        <w:t xml:space="preserve">caducidad </w:t>
      </w:r>
      <w:r>
        <w:rPr>
          <w:rFonts w:ascii="Verdana" w:hAnsi="Verdana" w:cs="Verdana"/>
          <w:i/>
          <w:iCs/>
          <w:lang w:val="es-ES" w:eastAsia="es-ES"/>
        </w:rPr>
        <w:t>durante</w:t>
      </w:r>
      <w:r>
        <w:rPr>
          <w:rFonts w:ascii="Verdana" w:hAnsi="Verdana" w:cs="Verdana"/>
          <w:i/>
          <w:iCs/>
          <w:lang w:val="es-ES" w:eastAsia="es-ES"/>
        </w:rPr>
        <w:tab/>
        <w:t>la</w:t>
      </w:r>
      <w:r>
        <w:rPr>
          <w:rFonts w:ascii="Verdana" w:hAnsi="Verdana" w:cs="Verdana"/>
          <w:i/>
          <w:iCs/>
          <w:lang w:val="es-ES" w:eastAsia="es-ES"/>
        </w:rPr>
        <w:tab/>
        <w:t>tramitación</w:t>
      </w:r>
      <w:r>
        <w:rPr>
          <w:rFonts w:ascii="Verdana" w:hAnsi="Verdana" w:cs="Verdana"/>
          <w:i/>
          <w:iCs/>
          <w:lang w:val="es-ES" w:eastAsia="es-ES"/>
        </w:rPr>
        <w:br/>
        <w:t xml:space="preserve">del </w:t>
      </w:r>
      <w:r>
        <w:rPr>
          <w:rFonts w:ascii="Verdana" w:hAnsi="Verdana" w:cs="Verdana"/>
          <w:b/>
          <w:bCs/>
          <w:i/>
          <w:iCs/>
          <w:lang w:val="es-ES" w:eastAsia="es-ES"/>
        </w:rPr>
        <w:t xml:space="preserve">procedimiento administrativo. </w:t>
      </w:r>
      <w:r>
        <w:rPr>
          <w:rFonts w:ascii="Verdana" w:hAnsi="Verdana" w:cs="Verdana"/>
          <w:i/>
          <w:iCs/>
          <w:lang w:val="es-ES" w:eastAsia="es-ES"/>
        </w:rPr>
        <w:t>Igual sucedió en el caso que originó la sentencia no. 286 de las 9 horas con 40 minutos del 6 de marzo de 2014, cuyo extracto se reprodujo en el considerando anterior.</w:t>
      </w:r>
    </w:p>
    <w:p w:rsidR="00617B56" w:rsidRDefault="00DD67AA">
      <w:pPr>
        <w:kinsoku w:val="0"/>
        <w:overflowPunct w:val="0"/>
        <w:autoSpaceDE/>
        <w:autoSpaceDN/>
        <w:adjustRightInd/>
        <w:spacing w:before="210" w:after="734" w:line="280" w:lineRule="exact"/>
        <w:ind w:right="72"/>
        <w:jc w:val="both"/>
        <w:textAlignment w:val="baseline"/>
        <w:rPr>
          <w:rFonts w:ascii="Verdana" w:hAnsi="Verdana" w:cs="Verdana"/>
          <w:i/>
          <w:iCs/>
          <w:spacing w:val="-1"/>
          <w:lang w:val="es-ES" w:eastAsia="es-ES"/>
        </w:rPr>
      </w:pPr>
      <w:r>
        <w:rPr>
          <w:rFonts w:ascii="Verdana" w:hAnsi="Verdana" w:cs="Verdana"/>
          <w:b/>
          <w:bCs/>
          <w:i/>
          <w:iCs/>
          <w:spacing w:val="-1"/>
          <w:lang w:val="es-ES" w:eastAsia="es-ES"/>
        </w:rPr>
        <w:t xml:space="preserve">V.- </w:t>
      </w:r>
      <w:r>
        <w:rPr>
          <w:rFonts w:ascii="Verdana" w:hAnsi="Verdana" w:cs="Verdana"/>
          <w:i/>
          <w:iCs/>
          <w:spacing w:val="-1"/>
          <w:lang w:val="es-ES" w:eastAsia="es-ES"/>
        </w:rPr>
        <w:t xml:space="preserve">De ahí, en tales precedentes se cumplió con el presupuesto de haber solicitado se </w:t>
      </w:r>
      <w:proofErr w:type="gramStart"/>
      <w:r>
        <w:rPr>
          <w:rFonts w:ascii="Verdana" w:hAnsi="Verdana" w:cs="Verdana"/>
          <w:i/>
          <w:iCs/>
          <w:spacing w:val="-1"/>
          <w:lang w:val="es-ES" w:eastAsia="es-ES"/>
        </w:rPr>
        <w:t>declarara</w:t>
      </w:r>
      <w:proofErr w:type="gramEnd"/>
      <w:r>
        <w:rPr>
          <w:rFonts w:ascii="Verdana" w:hAnsi="Verdana" w:cs="Verdana"/>
          <w:i/>
          <w:iCs/>
          <w:spacing w:val="-1"/>
          <w:lang w:val="es-ES" w:eastAsia="es-ES"/>
        </w:rPr>
        <w:t xml:space="preserve"> la </w:t>
      </w:r>
      <w:r>
        <w:rPr>
          <w:rFonts w:ascii="Verdana" w:hAnsi="Verdana" w:cs="Verdana"/>
          <w:b/>
          <w:bCs/>
          <w:i/>
          <w:iCs/>
          <w:spacing w:val="-1"/>
          <w:lang w:val="es-ES" w:eastAsia="es-ES"/>
        </w:rPr>
        <w:t xml:space="preserve">caducidad </w:t>
      </w:r>
      <w:r>
        <w:rPr>
          <w:rFonts w:ascii="Verdana" w:hAnsi="Verdana" w:cs="Verdana"/>
          <w:i/>
          <w:iCs/>
          <w:spacing w:val="-1"/>
          <w:lang w:val="es-ES" w:eastAsia="es-ES"/>
        </w:rPr>
        <w:t xml:space="preserve">del </w:t>
      </w:r>
      <w:r>
        <w:rPr>
          <w:rFonts w:ascii="Verdana" w:hAnsi="Verdana" w:cs="Verdana"/>
          <w:b/>
          <w:bCs/>
          <w:i/>
          <w:iCs/>
          <w:spacing w:val="-1"/>
          <w:lang w:val="es-ES" w:eastAsia="es-ES"/>
        </w:rPr>
        <w:t xml:space="preserve">procedimiento, </w:t>
      </w:r>
      <w:r>
        <w:rPr>
          <w:rFonts w:ascii="Verdana" w:hAnsi="Verdana" w:cs="Verdana"/>
          <w:i/>
          <w:iCs/>
          <w:spacing w:val="-1"/>
          <w:lang w:val="es-ES" w:eastAsia="es-ES"/>
        </w:rPr>
        <w:t xml:space="preserve">mientras este se desarrollaba, previo al dictado del acto final. En consecuencia, si no se declaró al alegarse, fue porque la Administración consideró, no operaba, por ello, correspondió en ambos casos, declararla a este Órgano decisor en sentencia, una vez que se constataron los presupuestos correspondientes. Por otra parte, ha de señalarse, esta Cámara ha estimado, por regla general las competencias no fenecen (artículos 59 y 66 de la LGAP). Asimismo, que el acto dictado fuera de plazo es válido para efectos legales, con las excepciones que el ordenamiento jurídico prevea. También, que la competencia es irrenunciable, intransmisible y no prescribe, por lo </w:t>
      </w:r>
      <w:proofErr w:type="gramStart"/>
      <w:r>
        <w:rPr>
          <w:rFonts w:ascii="Verdana" w:hAnsi="Verdana" w:cs="Verdana"/>
          <w:i/>
          <w:iCs/>
          <w:spacing w:val="-1"/>
          <w:lang w:val="es-ES" w:eastAsia="es-ES"/>
        </w:rPr>
        <w:t>que</w:t>
      </w:r>
      <w:proofErr w:type="gramEnd"/>
      <w:r>
        <w:rPr>
          <w:rFonts w:ascii="Verdana" w:hAnsi="Verdana" w:cs="Verdana"/>
          <w:i/>
          <w:iCs/>
          <w:spacing w:val="-1"/>
          <w:lang w:val="es-ES" w:eastAsia="es-ES"/>
        </w:rPr>
        <w:t xml:space="preserve"> para el caso de la </w:t>
      </w:r>
      <w:r>
        <w:rPr>
          <w:rFonts w:ascii="Verdana" w:hAnsi="Verdana" w:cs="Verdana"/>
          <w:b/>
          <w:bCs/>
          <w:i/>
          <w:iCs/>
          <w:spacing w:val="-1"/>
          <w:lang w:val="es-ES" w:eastAsia="es-ES"/>
        </w:rPr>
        <w:t xml:space="preserve">caducidad, </w:t>
      </w:r>
      <w:r>
        <w:rPr>
          <w:rFonts w:ascii="Verdana" w:hAnsi="Verdana" w:cs="Verdana"/>
          <w:i/>
          <w:iCs/>
          <w:spacing w:val="-1"/>
          <w:lang w:val="es-ES" w:eastAsia="es-ES"/>
        </w:rPr>
        <w:t xml:space="preserve">lo que sucede es que se origina una imposibilidad de continuar con el </w:t>
      </w:r>
      <w:r>
        <w:rPr>
          <w:rFonts w:ascii="Verdana" w:hAnsi="Verdana" w:cs="Verdana"/>
          <w:b/>
          <w:bCs/>
          <w:i/>
          <w:iCs/>
          <w:spacing w:val="-1"/>
          <w:lang w:val="es-ES" w:eastAsia="es-ES"/>
        </w:rPr>
        <w:t xml:space="preserve">procedimiento </w:t>
      </w:r>
      <w:r>
        <w:rPr>
          <w:rFonts w:ascii="Verdana" w:hAnsi="Verdana" w:cs="Verdana"/>
          <w:i/>
          <w:iCs/>
          <w:spacing w:val="-1"/>
          <w:lang w:val="es-ES" w:eastAsia="es-ES"/>
        </w:rPr>
        <w:t xml:space="preserve">donde se produjo la inercia. Por ende, para que opere, es menester que se haya pedido o declarado durante su desarrollo, ya que su propósito es ponerle fin. Lo anterior, ratifica lo argüido por la representación estatal, en lo tocante a que contrario a lo resuelto por el Tribunal, para que la </w:t>
      </w:r>
      <w:r>
        <w:rPr>
          <w:rFonts w:ascii="Verdana" w:hAnsi="Verdana" w:cs="Verdana"/>
          <w:b/>
          <w:bCs/>
          <w:i/>
          <w:iCs/>
          <w:spacing w:val="-1"/>
          <w:lang w:val="es-ES" w:eastAsia="es-ES"/>
        </w:rPr>
        <w:t xml:space="preserve">caducidad </w:t>
      </w:r>
      <w:r>
        <w:rPr>
          <w:rFonts w:ascii="Verdana" w:hAnsi="Verdana" w:cs="Verdana"/>
          <w:i/>
          <w:iCs/>
          <w:spacing w:val="-1"/>
          <w:lang w:val="es-ES" w:eastAsia="es-ES"/>
        </w:rPr>
        <w:t xml:space="preserve">opere, debe declararse en el propio </w:t>
      </w:r>
      <w:r>
        <w:rPr>
          <w:rFonts w:ascii="Verdana" w:hAnsi="Verdana" w:cs="Verdana"/>
          <w:b/>
          <w:bCs/>
          <w:i/>
          <w:iCs/>
          <w:spacing w:val="-1"/>
          <w:lang w:val="es-ES" w:eastAsia="es-ES"/>
        </w:rPr>
        <w:t xml:space="preserve">procedimiento administrativo, </w:t>
      </w:r>
      <w:r>
        <w:rPr>
          <w:rFonts w:ascii="Verdana" w:hAnsi="Verdana" w:cs="Verdana"/>
          <w:i/>
          <w:iCs/>
          <w:spacing w:val="-1"/>
          <w:lang w:val="es-ES" w:eastAsia="es-ES"/>
        </w:rPr>
        <w:t>o al menos, haberse</w:t>
      </w:r>
    </w:p>
    <w:p w:rsidR="00617B56" w:rsidRDefault="00617B56">
      <w:pPr>
        <w:widowControl/>
        <w:rPr>
          <w:sz w:val="24"/>
          <w:szCs w:val="24"/>
        </w:rPr>
        <w:sectPr w:rsidR="00617B56">
          <w:pgSz w:w="12331" w:h="15782"/>
          <w:pgMar w:top="1360" w:right="1589" w:bottom="261" w:left="2102" w:header="720" w:footer="720" w:gutter="0"/>
          <w:cols w:space="720"/>
          <w:noEndnote/>
        </w:sectPr>
      </w:pPr>
    </w:p>
    <w:p w:rsidR="00617B56" w:rsidRDefault="00DD67AA">
      <w:pPr>
        <w:kinsoku w:val="0"/>
        <w:overflowPunct w:val="0"/>
        <w:autoSpaceDE/>
        <w:autoSpaceDN/>
        <w:adjustRightInd/>
        <w:spacing w:line="281" w:lineRule="exact"/>
        <w:ind w:left="576" w:right="216"/>
        <w:jc w:val="both"/>
        <w:textAlignment w:val="baseline"/>
        <w:rPr>
          <w:rFonts w:ascii="Verdana" w:hAnsi="Verdana" w:cs="Verdana"/>
          <w:i/>
          <w:iCs/>
          <w:spacing w:val="-12"/>
          <w:sz w:val="22"/>
          <w:szCs w:val="22"/>
          <w:lang w:val="es-ES" w:eastAsia="es-ES"/>
        </w:rPr>
      </w:pPr>
      <w:r>
        <w:rPr>
          <w:rFonts w:ascii="Verdana" w:hAnsi="Verdana" w:cs="Verdana"/>
          <w:i/>
          <w:iCs/>
          <w:spacing w:val="-12"/>
          <w:sz w:val="22"/>
          <w:szCs w:val="22"/>
          <w:lang w:val="es-ES" w:eastAsia="es-ES"/>
        </w:rPr>
        <w:t xml:space="preserve">aducido, antes de la emisión del acto final. Lo cual no sucedió en el subexamine, razón por la cual habrá de acogerse el recurso de casación. Dado que no cabía declarar la </w:t>
      </w:r>
      <w:r>
        <w:rPr>
          <w:rFonts w:ascii="Verdana" w:hAnsi="Verdana" w:cs="Verdana"/>
          <w:b/>
          <w:bCs/>
          <w:i/>
          <w:iCs/>
          <w:spacing w:val="-12"/>
          <w:sz w:val="19"/>
          <w:szCs w:val="19"/>
          <w:lang w:val="es-ES" w:eastAsia="es-ES"/>
        </w:rPr>
        <w:t xml:space="preserve">caducidad </w:t>
      </w:r>
      <w:r>
        <w:rPr>
          <w:rFonts w:ascii="Verdana" w:hAnsi="Verdana" w:cs="Verdana"/>
          <w:i/>
          <w:iCs/>
          <w:spacing w:val="-12"/>
          <w:sz w:val="22"/>
          <w:szCs w:val="22"/>
          <w:lang w:val="es-ES" w:eastAsia="es-ES"/>
        </w:rPr>
        <w:t xml:space="preserve">del </w:t>
      </w:r>
      <w:r>
        <w:rPr>
          <w:rFonts w:ascii="Verdana" w:hAnsi="Verdana" w:cs="Verdana"/>
          <w:b/>
          <w:bCs/>
          <w:i/>
          <w:iCs/>
          <w:spacing w:val="-12"/>
          <w:sz w:val="19"/>
          <w:szCs w:val="19"/>
          <w:lang w:val="es-ES" w:eastAsia="es-ES"/>
        </w:rPr>
        <w:t xml:space="preserve">procedimiento administrativo, </w:t>
      </w:r>
      <w:r>
        <w:rPr>
          <w:rFonts w:ascii="Verdana" w:hAnsi="Verdana" w:cs="Verdana"/>
          <w:i/>
          <w:iCs/>
          <w:spacing w:val="-12"/>
          <w:sz w:val="22"/>
          <w:szCs w:val="22"/>
          <w:lang w:val="es-ES" w:eastAsia="es-ES"/>
        </w:rPr>
        <w:t xml:space="preserve">es evidente, tampoco resulta procedente la demanda en lo que a los extremos indemnizatorios respecta, al menos no con fundamento en la </w:t>
      </w:r>
      <w:r>
        <w:rPr>
          <w:rFonts w:ascii="Verdana" w:hAnsi="Verdana" w:cs="Verdana"/>
          <w:b/>
          <w:bCs/>
          <w:i/>
          <w:iCs/>
          <w:spacing w:val="-12"/>
          <w:sz w:val="19"/>
          <w:szCs w:val="19"/>
          <w:lang w:val="es-ES" w:eastAsia="es-ES"/>
        </w:rPr>
        <w:t xml:space="preserve">caducidad. </w:t>
      </w:r>
      <w:r>
        <w:rPr>
          <w:rFonts w:ascii="Verdana" w:hAnsi="Verdana" w:cs="Verdana"/>
          <w:i/>
          <w:iCs/>
          <w:spacing w:val="-12"/>
          <w:sz w:val="22"/>
          <w:szCs w:val="22"/>
          <w:lang w:val="es-ES" w:eastAsia="es-ES"/>
        </w:rPr>
        <w:t>En razón de que el Tribunal no analizó los restantes alegatos de fondo desarrollados en la demanda (parte final del considerando VII), entonces para no incurrir en un quebranto al derecho de defensa y a la garantía de la doble instancia, pues, si este Órgano los conoce, sería en única instancia, lo procedente será anular lo dispuesto en la resolución impugnada y reenviarlo al Despacho de donde procede."</w:t>
      </w:r>
    </w:p>
    <w:p w:rsidR="00617B56" w:rsidRDefault="00DD67AA">
      <w:pPr>
        <w:kinsoku w:val="0"/>
        <w:overflowPunct w:val="0"/>
        <w:autoSpaceDE/>
        <w:autoSpaceDN/>
        <w:adjustRightInd/>
        <w:spacing w:before="231" w:line="268" w:lineRule="exact"/>
        <w:ind w:left="144"/>
        <w:textAlignment w:val="baseline"/>
        <w:rPr>
          <w:rFonts w:ascii="Verdana" w:hAnsi="Verdana" w:cs="Verdana"/>
          <w:sz w:val="22"/>
          <w:szCs w:val="22"/>
          <w:lang w:val="es-ES" w:eastAsia="es-ES"/>
        </w:rPr>
      </w:pPr>
      <w:r>
        <w:rPr>
          <w:rFonts w:ascii="Verdana" w:hAnsi="Verdana" w:cs="Verdana"/>
          <w:sz w:val="22"/>
          <w:szCs w:val="22"/>
          <w:lang w:val="es-ES" w:eastAsia="es-ES"/>
        </w:rPr>
        <w:t>Por lo anterior debe rechazarse la caducidad invocada.</w:t>
      </w:r>
    </w:p>
    <w:p w:rsidR="00617B56" w:rsidRDefault="00DD67AA">
      <w:pPr>
        <w:kinsoku w:val="0"/>
        <w:overflowPunct w:val="0"/>
        <w:autoSpaceDE/>
        <w:autoSpaceDN/>
        <w:adjustRightInd/>
        <w:spacing w:before="277" w:line="268" w:lineRule="exact"/>
        <w:ind w:left="144" w:right="216"/>
        <w:jc w:val="both"/>
        <w:textAlignment w:val="baseline"/>
        <w:rPr>
          <w:rFonts w:ascii="Verdana" w:hAnsi="Verdana" w:cs="Verdana"/>
          <w:sz w:val="22"/>
          <w:szCs w:val="22"/>
          <w:lang w:val="es-ES" w:eastAsia="es-ES"/>
        </w:rPr>
      </w:pPr>
      <w:r>
        <w:rPr>
          <w:rFonts w:ascii="Verdana" w:hAnsi="Verdana" w:cs="Verdana"/>
          <w:sz w:val="22"/>
          <w:szCs w:val="22"/>
          <w:lang w:val="es-ES" w:eastAsia="es-ES"/>
        </w:rPr>
        <w:t>En cuanto a la alegada prescripción, a que refiere el recurrente en su apersonamiento la misma de conformidad con el numeral 198 de la Ley General de la Administración Pública es de 4 años y en la especie tal plazo no a acaecido por lo que debe rechazarse de plano.</w:t>
      </w:r>
    </w:p>
    <w:p w:rsidR="00617B56" w:rsidRDefault="00DD67AA">
      <w:pPr>
        <w:kinsoku w:val="0"/>
        <w:overflowPunct w:val="0"/>
        <w:autoSpaceDE/>
        <w:autoSpaceDN/>
        <w:adjustRightInd/>
        <w:spacing w:before="537" w:line="269" w:lineRule="exact"/>
        <w:ind w:left="144"/>
        <w:textAlignment w:val="baseline"/>
        <w:rPr>
          <w:rFonts w:ascii="Verdana" w:hAnsi="Verdana" w:cs="Verdana"/>
          <w:sz w:val="24"/>
          <w:szCs w:val="24"/>
          <w:lang w:eastAsia="en-US"/>
        </w:rPr>
      </w:pPr>
      <w:r>
        <w:rPr>
          <w:rFonts w:ascii="Verdana" w:hAnsi="Verdana" w:cs="Verdana"/>
          <w:b/>
          <w:bCs/>
          <w:sz w:val="22"/>
          <w:szCs w:val="22"/>
          <w:lang w:val="es-ES" w:eastAsia="es-ES"/>
        </w:rPr>
        <w:t>Sobre los demás argumentos del recurrente</w:t>
      </w:r>
      <w:r>
        <w:rPr>
          <w:rFonts w:ascii="Verdana" w:hAnsi="Verdana" w:cs="Verdana"/>
          <w:b/>
          <w:bCs/>
          <w:sz w:val="22"/>
          <w:szCs w:val="22"/>
          <w:lang w:val="es-ES" w:eastAsia="es-ES"/>
        </w:rPr>
        <w:noBreakHyphen/>
      </w:r>
    </w:p>
    <w:p w:rsidR="00617B56" w:rsidRDefault="00DD67AA">
      <w:pPr>
        <w:kinsoku w:val="0"/>
        <w:overflowPunct w:val="0"/>
        <w:autoSpaceDE/>
        <w:autoSpaceDN/>
        <w:adjustRightInd/>
        <w:spacing w:before="518" w:line="268" w:lineRule="exact"/>
        <w:ind w:left="144" w:right="216"/>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 xml:space="preserve">Indica el señor </w:t>
      </w:r>
      <w:r>
        <w:rPr>
          <w:rFonts w:ascii="Verdana" w:hAnsi="Verdana" w:cs="Verdana"/>
          <w:b/>
          <w:bCs/>
          <w:spacing w:val="-2"/>
          <w:sz w:val="22"/>
          <w:szCs w:val="22"/>
          <w:lang w:val="es-ES" w:eastAsia="es-ES"/>
        </w:rPr>
        <w:t>S</w:t>
      </w:r>
      <w:r w:rsidR="00462336">
        <w:rPr>
          <w:rFonts w:ascii="Verdana" w:hAnsi="Verdana" w:cs="Verdana"/>
          <w:b/>
          <w:bCs/>
          <w:spacing w:val="-2"/>
          <w:sz w:val="22"/>
          <w:szCs w:val="22"/>
          <w:lang w:val="es-ES" w:eastAsia="es-ES"/>
        </w:rPr>
        <w:t>.H.</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 xml:space="preserve">que es cierto que prestaba el servicio con una unidad modelo 2000 que debía ser cambiada en el año 2015, pero la misma Administración por los problemas de muchos taxistas fue aprobando prórrogas para que se efectuaran dichas diligencias; en su caso presentó la solicitud de cambio de unidad en el tiempo requerido pero los trámites se vieron truncados por problemas ajenos a él y modificaciones en las decisiones del mismo CTP. La Junta Directiva del Consejo de Transporte Público mediante acuerdo 8.2 de la sesión 6-2016 de 16 de febrero de el mismo año, dio como fecha prorrogada para el cambio de unidades hasta el último día hábil del mes de junio de 2016, acuerdo que posteriormente fue completado por otros y que se constituye en un acto generador de derechos a su favor y que se fortalece con el oficio </w:t>
      </w:r>
      <w:r>
        <w:rPr>
          <w:rFonts w:ascii="Verdana" w:hAnsi="Verdana" w:cs="Verdana"/>
          <w:b/>
          <w:bCs/>
          <w:spacing w:val="-2"/>
          <w:sz w:val="22"/>
          <w:szCs w:val="22"/>
          <w:lang w:val="es-ES" w:eastAsia="es-ES"/>
        </w:rPr>
        <w:t xml:space="preserve">DACP-TCU-2016-1184 </w:t>
      </w:r>
      <w:r>
        <w:rPr>
          <w:rFonts w:ascii="Verdana" w:hAnsi="Verdana" w:cs="Verdana"/>
          <w:spacing w:val="-2"/>
          <w:sz w:val="22"/>
          <w:szCs w:val="22"/>
          <w:lang w:val="es-ES" w:eastAsia="es-ES"/>
        </w:rPr>
        <w:t>del 2 de mayo de 2016, del Departamento de Administración y Concesiones mediante el cual se solicita al Registro Nacional autorizar la desinscripción del vehículo modelo 2000 que operaba por otro modelo 2017. En mayo del 2016 logró presentar todos los documentos requeridos para el cambio de unidad incluyendo proforma de la agencia Suzuki, empresa que le comunica el 10 de agosto de 2016 que el nuevo vehículo sale a su nombre asignándole placa particular e indicándole que se requería una modificación en un oficio el cual se presentó a solventar ante el CTP, donde se le indica de un atraso con la C.C.S.S. lo cual fue solucionada de manera inmediata.</w:t>
      </w:r>
    </w:p>
    <w:p w:rsidR="00617B56" w:rsidRDefault="00DD67AA">
      <w:pPr>
        <w:kinsoku w:val="0"/>
        <w:overflowPunct w:val="0"/>
        <w:autoSpaceDE/>
        <w:autoSpaceDN/>
        <w:adjustRightInd/>
        <w:spacing w:before="294" w:after="863" w:line="268" w:lineRule="exact"/>
        <w:ind w:left="144" w:right="216"/>
        <w:jc w:val="both"/>
        <w:textAlignment w:val="baseline"/>
        <w:rPr>
          <w:rFonts w:ascii="Verdana" w:hAnsi="Verdana" w:cs="Verdana"/>
          <w:sz w:val="22"/>
          <w:szCs w:val="22"/>
          <w:lang w:val="es-ES" w:eastAsia="es-ES"/>
        </w:rPr>
      </w:pPr>
      <w:r>
        <w:rPr>
          <w:rFonts w:ascii="Verdana" w:hAnsi="Verdana" w:cs="Verdana"/>
          <w:sz w:val="22"/>
          <w:szCs w:val="22"/>
          <w:lang w:val="es-ES" w:eastAsia="es-ES"/>
        </w:rPr>
        <w:t>Analizadas las piezas del expediente, y revisados los acuerdos emitidos por el Consejo de Transporte Público, este Tribunal Administrativo arriba a la conclusión de que no lleva razón el recurrente al indicar que actuó, en cuanto al cambio de unidad dentro de prorrogas dadas por la Administración.</w:t>
      </w:r>
    </w:p>
    <w:p w:rsidR="00617B56" w:rsidRDefault="00617B56">
      <w:pPr>
        <w:widowControl/>
        <w:rPr>
          <w:sz w:val="24"/>
          <w:szCs w:val="24"/>
        </w:rPr>
        <w:sectPr w:rsidR="00617B56">
          <w:pgSz w:w="12317" w:h="15821"/>
          <w:pgMar w:top="1460" w:right="1356" w:bottom="200" w:left="1712" w:header="720" w:footer="720" w:gutter="0"/>
          <w:cols w:space="720"/>
          <w:noEndnote/>
        </w:sectPr>
      </w:pPr>
    </w:p>
    <w:p w:rsidR="00617B56" w:rsidRDefault="00DD67AA">
      <w:pPr>
        <w:kinsoku w:val="0"/>
        <w:overflowPunct w:val="0"/>
        <w:autoSpaceDE/>
        <w:autoSpaceDN/>
        <w:adjustRightInd/>
        <w:spacing w:line="268" w:lineRule="exact"/>
        <w:ind w:left="216" w:right="216"/>
        <w:jc w:val="both"/>
        <w:textAlignment w:val="baseline"/>
        <w:rPr>
          <w:rFonts w:ascii="Verdana" w:hAnsi="Verdana" w:cs="Verdana"/>
          <w:sz w:val="22"/>
          <w:szCs w:val="22"/>
          <w:lang w:val="es-ES" w:eastAsia="es-ES"/>
        </w:rPr>
      </w:pPr>
      <w:r>
        <w:rPr>
          <w:rFonts w:ascii="Verdana" w:hAnsi="Verdana" w:cs="Verdana"/>
          <w:sz w:val="22"/>
          <w:szCs w:val="22"/>
          <w:lang w:val="es-ES" w:eastAsia="es-ES"/>
        </w:rPr>
        <w:t>Es claro que el cambio de unidad debió, el recurrente, hacerlo a más tardar el 14 de enero de 2016, lo que no hizo haciéndolo incurrir en un incumplimiento a sus deberes tal como lo ha alertado el Consejo de Transporte Público, y por lo cual se le instauró el respectivo procedimiento administrativo.</w:t>
      </w:r>
    </w:p>
    <w:p w:rsidR="00617B56" w:rsidRDefault="00DD67AA">
      <w:pPr>
        <w:kinsoku w:val="0"/>
        <w:overflowPunct w:val="0"/>
        <w:autoSpaceDE/>
        <w:autoSpaceDN/>
        <w:adjustRightInd/>
        <w:spacing w:before="266" w:line="268" w:lineRule="exact"/>
        <w:ind w:left="216" w:right="216"/>
        <w:jc w:val="both"/>
        <w:textAlignment w:val="baseline"/>
        <w:rPr>
          <w:rFonts w:ascii="Verdana" w:hAnsi="Verdana" w:cs="Verdana"/>
          <w:sz w:val="22"/>
          <w:szCs w:val="22"/>
          <w:lang w:val="es-ES" w:eastAsia="es-ES"/>
        </w:rPr>
      </w:pPr>
      <w:r>
        <w:rPr>
          <w:rFonts w:ascii="Verdana" w:hAnsi="Verdana" w:cs="Verdana"/>
          <w:sz w:val="22"/>
          <w:szCs w:val="22"/>
          <w:lang w:val="es-ES" w:eastAsia="es-ES"/>
        </w:rPr>
        <w:t>Nótese que la Administración da una prorroga hasta el último día del mes de julio de 2016 para hacer cambio de unidad, a aquellos concesionarios que habiendo incumplido insistan en realizar tal variación en el equipo sujeto al servicio, pero a expensas de lo que en definitiva se resuelva en los procedimientos administrativos que se instauren.</w:t>
      </w:r>
    </w:p>
    <w:p w:rsidR="00617B56" w:rsidRDefault="00DD67AA">
      <w:pPr>
        <w:kinsoku w:val="0"/>
        <w:overflowPunct w:val="0"/>
        <w:autoSpaceDE/>
        <w:autoSpaceDN/>
        <w:adjustRightInd/>
        <w:spacing w:before="268" w:line="267" w:lineRule="exact"/>
        <w:ind w:left="216" w:right="216"/>
        <w:jc w:val="both"/>
        <w:textAlignment w:val="baseline"/>
        <w:rPr>
          <w:rFonts w:ascii="Verdana" w:hAnsi="Verdana" w:cs="Verdana"/>
          <w:b/>
          <w:bCs/>
          <w:spacing w:val="-2"/>
          <w:sz w:val="22"/>
          <w:szCs w:val="22"/>
          <w:lang w:val="es-ES" w:eastAsia="es-ES"/>
        </w:rPr>
      </w:pPr>
      <w:r>
        <w:rPr>
          <w:rFonts w:ascii="Verdana" w:hAnsi="Verdana" w:cs="Verdana"/>
          <w:spacing w:val="-2"/>
          <w:sz w:val="22"/>
          <w:szCs w:val="22"/>
          <w:lang w:val="es-ES" w:eastAsia="es-ES"/>
        </w:rPr>
        <w:t xml:space="preserve">La Junta Directiva del Consejo de transporte Público mediante </w:t>
      </w:r>
      <w:r>
        <w:rPr>
          <w:rFonts w:ascii="Verdana" w:hAnsi="Verdana" w:cs="Verdana"/>
          <w:b/>
          <w:bCs/>
          <w:spacing w:val="-2"/>
          <w:sz w:val="22"/>
          <w:szCs w:val="22"/>
          <w:lang w:val="es-ES" w:eastAsia="es-ES"/>
        </w:rPr>
        <w:t xml:space="preserve">acuerdo 8.2 de la Sesión Ordinaria 6-2016 de 10 de febrero de 2016 </w:t>
      </w:r>
      <w:r>
        <w:rPr>
          <w:rFonts w:ascii="Verdana" w:hAnsi="Verdana" w:cs="Verdana"/>
          <w:spacing w:val="-2"/>
          <w:sz w:val="22"/>
          <w:szCs w:val="22"/>
          <w:lang w:val="es-ES" w:eastAsia="es-ES"/>
        </w:rPr>
        <w:t xml:space="preserve">acoge el oficio </w:t>
      </w:r>
      <w:r>
        <w:rPr>
          <w:rFonts w:ascii="Verdana" w:hAnsi="Verdana" w:cs="Verdana"/>
          <w:b/>
          <w:bCs/>
          <w:spacing w:val="-2"/>
          <w:sz w:val="22"/>
          <w:szCs w:val="22"/>
          <w:lang w:val="es-ES" w:eastAsia="es-ES"/>
        </w:rPr>
        <w:t>2016</w:t>
      </w:r>
      <w:r>
        <w:rPr>
          <w:rFonts w:ascii="Verdana" w:hAnsi="Verdana" w:cs="Verdana"/>
          <w:b/>
          <w:bCs/>
          <w:spacing w:val="-2"/>
          <w:sz w:val="22"/>
          <w:szCs w:val="22"/>
          <w:lang w:val="es-ES" w:eastAsia="es-ES"/>
        </w:rPr>
        <w:softHyphen/>
        <w:t xml:space="preserve">000430 </w:t>
      </w:r>
      <w:r>
        <w:rPr>
          <w:rFonts w:ascii="Verdana" w:hAnsi="Verdana" w:cs="Verdana"/>
          <w:spacing w:val="-2"/>
          <w:sz w:val="22"/>
          <w:szCs w:val="22"/>
          <w:lang w:val="es-ES" w:eastAsia="es-ES"/>
        </w:rPr>
        <w:t xml:space="preserve">de la Dirección de Asuntos Jurídicos, referente al oficio del Departamento de Administración de Concesiones y Permisos el </w:t>
      </w:r>
      <w:r>
        <w:rPr>
          <w:rFonts w:ascii="Verdana" w:hAnsi="Verdana" w:cs="Verdana"/>
          <w:b/>
          <w:bCs/>
          <w:spacing w:val="-2"/>
          <w:sz w:val="22"/>
          <w:szCs w:val="22"/>
          <w:lang w:val="es-ES" w:eastAsia="es-ES"/>
        </w:rPr>
        <w:t>DACP 2016</w:t>
      </w:r>
      <w:r>
        <w:rPr>
          <w:rFonts w:ascii="Verdana" w:hAnsi="Verdana" w:cs="Verdana"/>
          <w:b/>
          <w:bCs/>
          <w:spacing w:val="-2"/>
          <w:sz w:val="22"/>
          <w:szCs w:val="22"/>
          <w:lang w:val="es-ES" w:eastAsia="es-ES"/>
        </w:rPr>
        <w:softHyphen/>
        <w:t xml:space="preserve">0510 </w:t>
      </w:r>
      <w:r>
        <w:rPr>
          <w:rFonts w:ascii="Verdana" w:hAnsi="Verdana" w:cs="Verdana"/>
          <w:spacing w:val="-2"/>
          <w:sz w:val="22"/>
          <w:szCs w:val="22"/>
          <w:lang w:val="es-ES" w:eastAsia="es-ES"/>
        </w:rPr>
        <w:t xml:space="preserve">y dispone en su parte dispositiva </w:t>
      </w:r>
      <w:r>
        <w:rPr>
          <w:rFonts w:ascii="Verdana" w:hAnsi="Verdana" w:cs="Verdana"/>
          <w:i/>
          <w:iCs/>
          <w:spacing w:val="-2"/>
          <w:sz w:val="22"/>
          <w:szCs w:val="22"/>
          <w:lang w:val="es-ES" w:eastAsia="es-ES"/>
        </w:rPr>
        <w:t>"2. Iniciar Procedimiento Administrativo en contra de los 163 concesionarios de taxi (detallados en el cuadro que de seguido se inserta), que presentaron solicitud de cambio de unidad (modelo 2000) en fecha posterior al 14 de enero del 2016, tomando como fundamento, motivos y contenidos desarrollados en el análisis realizado en el oficio DAJ 2016</w:t>
      </w:r>
      <w:r>
        <w:rPr>
          <w:rFonts w:ascii="Verdana" w:hAnsi="Verdana" w:cs="Verdana"/>
          <w:i/>
          <w:iCs/>
          <w:spacing w:val="-2"/>
          <w:sz w:val="22"/>
          <w:szCs w:val="22"/>
          <w:lang w:val="es-ES" w:eastAsia="es-ES"/>
        </w:rPr>
        <w:softHyphen/>
        <w:t xml:space="preserve">000430; acuerdo que conlleva efectos individuales para cada uno de los concesionarios inmersos en la lista que de seguido se inserta, y se comisiona a la Dirección de Asuntos Jurídicos para la ejecución de los procedimientos aquí ordenados (...) 3. Informar a los 163 concesionarios de taxi que se encuentran contenidos en la lista inserta en el por tanto anterior, que en estos casos, puede concretarse el cambio de unidad, previo cumplimiento de requisitos dispuestos para tales efectos, situación que deberá determinar el Departamento de Administración de Concesiones y Permisos, y previo a que el concesionario señale expresamente por escrito y conste en el expediente, estar de acuerdo con el cambio de unidad, indistintamente de las resultas o hallazgos que se configuren finalmente en el procedimiento administrativo, para lo cual, deberá completar la boleta que se adjunta en el por tanto siguiente </w:t>
      </w:r>
      <w:r>
        <w:rPr>
          <w:rFonts w:ascii="Verdana" w:hAnsi="Verdana" w:cs="Verdana"/>
          <w:spacing w:val="-2"/>
          <w:sz w:val="22"/>
          <w:szCs w:val="22"/>
          <w:lang w:val="es-ES" w:eastAsia="es-ES"/>
        </w:rPr>
        <w:t xml:space="preserve">(...)4. Aprobar la boleta que de seguido se inserta, en la cual el concesionario contenido en el marco fáctico expuesto en el informe </w:t>
      </w:r>
      <w:r>
        <w:rPr>
          <w:rFonts w:ascii="Verdana" w:hAnsi="Verdana" w:cs="Verdana"/>
          <w:b/>
          <w:bCs/>
          <w:spacing w:val="-2"/>
          <w:sz w:val="22"/>
          <w:szCs w:val="22"/>
          <w:lang w:val="es-ES" w:eastAsia="es-ES"/>
        </w:rPr>
        <w:t xml:space="preserve">DAJ 2016-000430, </w:t>
      </w:r>
      <w:r>
        <w:rPr>
          <w:rFonts w:ascii="Verdana" w:hAnsi="Verdana" w:cs="Verdana"/>
          <w:spacing w:val="-2"/>
          <w:sz w:val="22"/>
          <w:szCs w:val="22"/>
          <w:lang w:val="es-ES" w:eastAsia="es-ES"/>
        </w:rPr>
        <w:t xml:space="preserve">autoriza a la Administración, para que concrete el cambio de unidad (modelo 2000): </w:t>
      </w:r>
      <w:r>
        <w:rPr>
          <w:rFonts w:ascii="Verdana" w:hAnsi="Verdana" w:cs="Verdana"/>
          <w:b/>
          <w:bCs/>
          <w:spacing w:val="-2"/>
          <w:sz w:val="22"/>
          <w:szCs w:val="22"/>
          <w:lang w:val="es-ES" w:eastAsia="es-ES"/>
        </w:rPr>
        <w:t>Solicitud de Cambio de unidad. El o la suscrito (a),</w:t>
      </w:r>
    </w:p>
    <w:p w:rsidR="00617B56" w:rsidRDefault="00DD67AA">
      <w:pPr>
        <w:tabs>
          <w:tab w:val="right" w:leader="underscore" w:pos="9072"/>
        </w:tabs>
        <w:kinsoku w:val="0"/>
        <w:overflowPunct w:val="0"/>
        <w:autoSpaceDE/>
        <w:autoSpaceDN/>
        <w:adjustRightInd/>
        <w:spacing w:before="261" w:line="270" w:lineRule="exact"/>
        <w:ind w:left="216"/>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cédula</w:t>
      </w:r>
      <w:r>
        <w:rPr>
          <w:rFonts w:ascii="Verdana" w:hAnsi="Verdana" w:cs="Verdana"/>
          <w:b/>
          <w:bCs/>
          <w:sz w:val="22"/>
          <w:szCs w:val="22"/>
          <w:lang w:val="es-ES" w:eastAsia="es-ES"/>
        </w:rPr>
        <w:tab/>
        <w:t>, en mi condición de concesionario (a) del</w:t>
      </w:r>
    </w:p>
    <w:p w:rsidR="00617B56" w:rsidRDefault="00DD67AA">
      <w:pPr>
        <w:tabs>
          <w:tab w:val="right" w:leader="underscore" w:pos="9072"/>
        </w:tabs>
        <w:kinsoku w:val="0"/>
        <w:overflowPunct w:val="0"/>
        <w:autoSpaceDE/>
        <w:autoSpaceDN/>
        <w:adjustRightInd/>
        <w:spacing w:before="8" w:line="270" w:lineRule="exact"/>
        <w:ind w:left="216"/>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taxi placa</w:t>
      </w:r>
      <w:r>
        <w:rPr>
          <w:rFonts w:ascii="Verdana" w:hAnsi="Verdana" w:cs="Verdana"/>
          <w:b/>
          <w:bCs/>
          <w:sz w:val="22"/>
          <w:szCs w:val="22"/>
          <w:lang w:val="es-ES" w:eastAsia="es-ES"/>
        </w:rPr>
        <w:tab/>
        <w:t>, solicito expresamente a la</w:t>
      </w:r>
    </w:p>
    <w:p w:rsidR="00617B56" w:rsidRDefault="00DD67AA">
      <w:pPr>
        <w:kinsoku w:val="0"/>
        <w:overflowPunct w:val="0"/>
        <w:autoSpaceDE/>
        <w:autoSpaceDN/>
        <w:adjustRightInd/>
        <w:spacing w:before="18" w:line="270" w:lineRule="exact"/>
        <w:ind w:left="216" w:right="216"/>
        <w:jc w:val="both"/>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Administración, para que concrete y autorice la gestión de cambio de unidad modelo 2000, a pesar de que la misma fue presentada fuera del plazo dispuesto, y teniendo pleno conocimiento del establecimiento de un procedimiento administrativo por dicha causal en mi contra, motivo por el cual, eximo de toda responsabilidad civil, contractual y</w:t>
      </w:r>
    </w:p>
    <w:p w:rsidR="00617B56" w:rsidRDefault="00DD67AA">
      <w:pPr>
        <w:tabs>
          <w:tab w:val="right" w:pos="9072"/>
        </w:tabs>
        <w:kinsoku w:val="0"/>
        <w:overflowPunct w:val="0"/>
        <w:autoSpaceDE/>
        <w:autoSpaceDN/>
        <w:adjustRightInd/>
        <w:spacing w:before="1" w:after="645" w:line="267" w:lineRule="exact"/>
        <w:ind w:left="216" w:right="216"/>
        <w:textAlignment w:val="baseline"/>
        <w:rPr>
          <w:rFonts w:ascii="Verdana" w:hAnsi="Verdana" w:cs="Verdana"/>
          <w:i/>
          <w:iCs/>
          <w:spacing w:val="-1"/>
          <w:sz w:val="22"/>
          <w:szCs w:val="22"/>
          <w:lang w:val="es-ES" w:eastAsia="es-ES"/>
        </w:rPr>
      </w:pPr>
      <w:r>
        <w:rPr>
          <w:rFonts w:ascii="Verdana" w:hAnsi="Verdana" w:cs="Verdana"/>
          <w:b/>
          <w:bCs/>
          <w:spacing w:val="-1"/>
          <w:sz w:val="22"/>
          <w:szCs w:val="22"/>
          <w:lang w:val="es-ES" w:eastAsia="es-ES"/>
        </w:rPr>
        <w:t>administrativa por el cambio de unidad que se realice. Firma:</w:t>
      </w:r>
      <w:r>
        <w:rPr>
          <w:rFonts w:ascii="Verdana" w:hAnsi="Verdana" w:cs="Verdana"/>
          <w:b/>
          <w:bCs/>
          <w:spacing w:val="-1"/>
          <w:sz w:val="22"/>
          <w:szCs w:val="22"/>
          <w:lang w:val="es-ES" w:eastAsia="es-ES"/>
        </w:rPr>
        <w:tab/>
        <w:t>Fecha:</w:t>
      </w:r>
      <w:r>
        <w:rPr>
          <w:rFonts w:ascii="Verdana" w:hAnsi="Verdana" w:cs="Verdana"/>
          <w:b/>
          <w:bCs/>
          <w:spacing w:val="-1"/>
          <w:sz w:val="22"/>
          <w:szCs w:val="22"/>
          <w:lang w:val="es-ES" w:eastAsia="es-ES"/>
        </w:rPr>
        <w:br/>
      </w:r>
      <w:r>
        <w:rPr>
          <w:rFonts w:ascii="Verdana" w:hAnsi="Verdana" w:cs="Verdana"/>
          <w:i/>
          <w:iCs/>
          <w:spacing w:val="-1"/>
          <w:sz w:val="22"/>
          <w:szCs w:val="22"/>
          <w:lang w:val="es-ES" w:eastAsia="es-ES"/>
        </w:rPr>
        <w:t xml:space="preserve">5. Disponer como plazo para aquellas solicitudes de cambio de unidad hasta el </w:t>
      </w:r>
      <w:r>
        <w:rPr>
          <w:rFonts w:ascii="Verdana" w:hAnsi="Verdana" w:cs="Verdana"/>
          <w:b/>
          <w:bCs/>
          <w:i/>
          <w:iCs/>
          <w:spacing w:val="-1"/>
          <w:sz w:val="22"/>
          <w:szCs w:val="22"/>
          <w:lang w:val="es-ES" w:eastAsia="es-ES"/>
        </w:rPr>
        <w:t xml:space="preserve">último día hábil del mes de junio del 2016, </w:t>
      </w:r>
      <w:r>
        <w:rPr>
          <w:rFonts w:ascii="Verdana" w:hAnsi="Verdana" w:cs="Verdana"/>
          <w:i/>
          <w:iCs/>
          <w:spacing w:val="-1"/>
          <w:sz w:val="22"/>
          <w:szCs w:val="22"/>
          <w:lang w:val="es-ES" w:eastAsia="es-ES"/>
        </w:rPr>
        <w:t xml:space="preserve">como fecha máxima en que se dará el tratamiento descrito en el ofició </w:t>
      </w:r>
      <w:r>
        <w:rPr>
          <w:rFonts w:ascii="Verdana" w:hAnsi="Verdana" w:cs="Verdana"/>
          <w:b/>
          <w:bCs/>
          <w:i/>
          <w:iCs/>
          <w:spacing w:val="-1"/>
          <w:sz w:val="22"/>
          <w:szCs w:val="22"/>
          <w:lang w:val="es-ES" w:eastAsia="es-ES"/>
        </w:rPr>
        <w:t xml:space="preserve">DAJ 2016000430, </w:t>
      </w:r>
      <w:r>
        <w:rPr>
          <w:rFonts w:ascii="Verdana" w:hAnsi="Verdana" w:cs="Verdana"/>
          <w:i/>
          <w:iCs/>
          <w:spacing w:val="-1"/>
          <w:sz w:val="22"/>
          <w:szCs w:val="22"/>
          <w:lang w:val="es-ES" w:eastAsia="es-ES"/>
        </w:rPr>
        <w:t>a las solicitudes de</w:t>
      </w:r>
    </w:p>
    <w:p w:rsidR="00617B56" w:rsidRDefault="00617B56">
      <w:pPr>
        <w:widowControl/>
        <w:rPr>
          <w:sz w:val="24"/>
          <w:szCs w:val="24"/>
        </w:rPr>
        <w:sectPr w:rsidR="00617B56">
          <w:pgSz w:w="12317" w:h="15821"/>
          <w:pgMar w:top="1320" w:right="1606" w:bottom="305" w:left="1462" w:header="720" w:footer="720" w:gutter="0"/>
          <w:cols w:space="720"/>
          <w:noEndnote/>
        </w:sectPr>
      </w:pPr>
    </w:p>
    <w:p w:rsidR="00617B56" w:rsidRDefault="00DD67AA">
      <w:pPr>
        <w:kinsoku w:val="0"/>
        <w:overflowPunct w:val="0"/>
        <w:autoSpaceDE/>
        <w:autoSpaceDN/>
        <w:adjustRightInd/>
        <w:spacing w:before="15" w:line="276" w:lineRule="exact"/>
        <w:ind w:left="144" w:right="144"/>
        <w:jc w:val="both"/>
        <w:textAlignment w:val="baseline"/>
        <w:rPr>
          <w:rFonts w:ascii="Verdana" w:hAnsi="Verdana" w:cs="Verdana"/>
          <w:sz w:val="22"/>
          <w:szCs w:val="22"/>
          <w:lang w:val="es-ES" w:eastAsia="es-ES"/>
        </w:rPr>
      </w:pPr>
      <w:r>
        <w:rPr>
          <w:rFonts w:ascii="Verdana" w:hAnsi="Verdana" w:cs="Verdana"/>
          <w:i/>
          <w:iCs/>
          <w:sz w:val="22"/>
          <w:szCs w:val="22"/>
          <w:lang w:val="es-ES" w:eastAsia="es-ES"/>
        </w:rPr>
        <w:t xml:space="preserve">cambio de unidad modelo 2000 (...). </w:t>
      </w:r>
      <w:r>
        <w:rPr>
          <w:rFonts w:ascii="Verdana" w:hAnsi="Verdana" w:cs="Verdana"/>
          <w:sz w:val="22"/>
          <w:szCs w:val="22"/>
          <w:lang w:val="es-ES" w:eastAsia="es-ES"/>
        </w:rPr>
        <w:t>(el resaltado en negrita es nuestro) (léanse folios del 96 al 101 del expediente administrativo)</w:t>
      </w:r>
    </w:p>
    <w:p w:rsidR="00617B56" w:rsidRDefault="00DD67AA" w:rsidP="00462336">
      <w:pPr>
        <w:kinsoku w:val="0"/>
        <w:overflowPunct w:val="0"/>
        <w:autoSpaceDE/>
        <w:autoSpaceDN/>
        <w:adjustRightInd/>
        <w:spacing w:before="273" w:line="266" w:lineRule="exact"/>
        <w:ind w:left="144" w:right="144"/>
        <w:jc w:val="both"/>
        <w:textAlignment w:val="baseline"/>
        <w:rPr>
          <w:rFonts w:ascii="Verdana" w:hAnsi="Verdana" w:cs="Verdana"/>
          <w:sz w:val="22"/>
          <w:szCs w:val="22"/>
          <w:lang w:val="es-ES" w:eastAsia="es-ES"/>
        </w:rPr>
      </w:pPr>
      <w:r>
        <w:rPr>
          <w:rFonts w:ascii="Verdana" w:hAnsi="Verdana" w:cs="Verdana"/>
          <w:spacing w:val="-1"/>
          <w:sz w:val="22"/>
          <w:szCs w:val="22"/>
          <w:lang w:val="es-ES" w:eastAsia="es-ES"/>
        </w:rPr>
        <w:t>De lo anterior se extrae que la Administración deja a salvo su responsabilidad al emitir hasta una boleta en la que el concesionario asume plenamente el riesgo de la inversión que haga al realizar el cambio de unidad, pues si en un posterior procedimiento se declara que no hubo justificación alguna para no haber</w:t>
      </w:r>
      <w:r w:rsidR="00462336">
        <w:rPr>
          <w:rFonts w:ascii="Verdana" w:hAnsi="Verdana" w:cs="Verdana"/>
          <w:spacing w:val="-1"/>
          <w:sz w:val="22"/>
          <w:szCs w:val="22"/>
          <w:lang w:val="es-ES" w:eastAsia="es-ES"/>
        </w:rPr>
        <w:t xml:space="preserve"> </w:t>
      </w:r>
      <w:r>
        <w:rPr>
          <w:rFonts w:ascii="Verdana" w:hAnsi="Verdana" w:cs="Verdana"/>
          <w:sz w:val="22"/>
          <w:szCs w:val="22"/>
          <w:lang w:val="es-ES" w:eastAsia="es-ES"/>
        </w:rPr>
        <w:t>realizado</w:t>
      </w:r>
      <w:r>
        <w:rPr>
          <w:rFonts w:ascii="Verdana" w:hAnsi="Verdana" w:cs="Verdana"/>
          <w:sz w:val="22"/>
          <w:szCs w:val="22"/>
          <w:lang w:val="es-ES" w:eastAsia="es-ES"/>
        </w:rPr>
        <w:tab/>
        <w:t>el cambio del vehículo por advenimiento de su vida útil, el</w:t>
      </w:r>
      <w:r>
        <w:rPr>
          <w:rFonts w:ascii="Verdana" w:hAnsi="Verdana" w:cs="Verdana"/>
          <w:sz w:val="22"/>
          <w:szCs w:val="22"/>
          <w:lang w:val="es-ES" w:eastAsia="es-ES"/>
        </w:rPr>
        <w:br/>
        <w:t>concesionario no podrá reclamar al CTP, los gastos en que incurrió por su cuenta y riesgo.</w:t>
      </w:r>
    </w:p>
    <w:p w:rsidR="00617B56" w:rsidRDefault="00DD67AA">
      <w:pPr>
        <w:kinsoku w:val="0"/>
        <w:overflowPunct w:val="0"/>
        <w:autoSpaceDE/>
        <w:autoSpaceDN/>
        <w:adjustRightInd/>
        <w:spacing w:before="262" w:line="270"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En el caso particular del señor </w:t>
      </w:r>
      <w:r>
        <w:rPr>
          <w:rFonts w:ascii="Verdana" w:hAnsi="Verdana" w:cs="Verdana"/>
          <w:b/>
          <w:bCs/>
          <w:sz w:val="22"/>
          <w:szCs w:val="22"/>
          <w:lang w:val="es-ES" w:eastAsia="es-ES"/>
        </w:rPr>
        <w:t>S</w:t>
      </w:r>
      <w:r w:rsidR="00462336">
        <w:rPr>
          <w:rFonts w:ascii="Verdana" w:hAnsi="Verdana" w:cs="Verdana"/>
          <w:b/>
          <w:bCs/>
          <w:sz w:val="22"/>
          <w:szCs w:val="22"/>
          <w:lang w:val="es-ES" w:eastAsia="es-ES"/>
        </w:rPr>
        <w:t>.H.</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se verifica en la especie que a marzo de 2016 no había realizado el cambio de unidad con que se servía la concesión </w:t>
      </w:r>
      <w:r>
        <w:rPr>
          <w:rFonts w:ascii="Verdana" w:hAnsi="Verdana" w:cs="Verdana"/>
          <w:b/>
          <w:bCs/>
          <w:sz w:val="22"/>
          <w:szCs w:val="22"/>
          <w:lang w:val="es-ES" w:eastAsia="es-ES"/>
        </w:rPr>
        <w:t xml:space="preserve">TSJ </w:t>
      </w:r>
      <w:r w:rsidR="00462336">
        <w:rPr>
          <w:rFonts w:ascii="Verdana" w:hAnsi="Verdana" w:cs="Verdana"/>
          <w:b/>
          <w:bCs/>
          <w:sz w:val="22"/>
          <w:szCs w:val="22"/>
          <w:lang w:val="es-ES" w:eastAsia="es-ES"/>
        </w:rPr>
        <w:t>XXXX</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por lo que La Junta Directiva del Consejo de Transporte Público mediante </w:t>
      </w:r>
      <w:r>
        <w:rPr>
          <w:rFonts w:ascii="Verdana" w:hAnsi="Verdana" w:cs="Verdana"/>
          <w:b/>
          <w:bCs/>
          <w:sz w:val="22"/>
          <w:szCs w:val="22"/>
          <w:lang w:val="es-ES" w:eastAsia="es-ES"/>
        </w:rPr>
        <w:t xml:space="preserve">acuerdo 8.1 de la Sesión Ordinaria 10-2016 de 3 de marzo de 2016 </w:t>
      </w:r>
      <w:r>
        <w:rPr>
          <w:rFonts w:ascii="Verdana" w:hAnsi="Verdana" w:cs="Verdana"/>
          <w:sz w:val="22"/>
          <w:szCs w:val="22"/>
          <w:lang w:val="es-ES" w:eastAsia="es-ES"/>
        </w:rPr>
        <w:t xml:space="preserve">acoge el oficio </w:t>
      </w:r>
      <w:r>
        <w:rPr>
          <w:rFonts w:ascii="Verdana" w:hAnsi="Verdana" w:cs="Verdana"/>
          <w:b/>
          <w:bCs/>
          <w:sz w:val="22"/>
          <w:szCs w:val="22"/>
          <w:lang w:val="es-ES" w:eastAsia="es-ES"/>
        </w:rPr>
        <w:t xml:space="preserve">2016-000722 </w:t>
      </w:r>
      <w:r>
        <w:rPr>
          <w:rFonts w:ascii="Verdana" w:hAnsi="Verdana" w:cs="Verdana"/>
          <w:sz w:val="22"/>
          <w:szCs w:val="22"/>
          <w:lang w:val="es-ES" w:eastAsia="es-ES"/>
        </w:rPr>
        <w:t xml:space="preserve">de la Dirección de Asuntos Jurídicos y dispone la apertura de un procedimiento administrativo de caducidad entre otros al recurrente </w:t>
      </w:r>
      <w:r>
        <w:rPr>
          <w:rFonts w:ascii="Verdana" w:hAnsi="Verdana" w:cs="Verdana"/>
          <w:b/>
          <w:bCs/>
          <w:sz w:val="22"/>
          <w:szCs w:val="22"/>
          <w:lang w:val="es-ES" w:eastAsia="es-ES"/>
        </w:rPr>
        <w:t xml:space="preserve">placa </w:t>
      </w:r>
      <w:r>
        <w:rPr>
          <w:rFonts w:ascii="Verdana" w:hAnsi="Verdana" w:cs="Verdana"/>
          <w:b/>
          <w:bCs/>
          <w:i/>
          <w:iCs/>
          <w:sz w:val="22"/>
          <w:szCs w:val="22"/>
          <w:lang w:val="es-ES" w:eastAsia="es-ES"/>
        </w:rPr>
        <w:t>TS</w:t>
      </w:r>
      <w:r w:rsidR="00462336">
        <w:rPr>
          <w:rFonts w:ascii="Verdana" w:hAnsi="Verdana" w:cs="Verdana"/>
          <w:b/>
          <w:bCs/>
          <w:i/>
          <w:iCs/>
          <w:sz w:val="22"/>
          <w:szCs w:val="22"/>
          <w:lang w:val="es-ES" w:eastAsia="es-ES"/>
        </w:rPr>
        <w:t>J</w:t>
      </w:r>
      <w:r>
        <w:rPr>
          <w:rFonts w:ascii="Verdana" w:hAnsi="Verdana" w:cs="Verdana"/>
          <w:b/>
          <w:bCs/>
          <w:i/>
          <w:iCs/>
          <w:sz w:val="22"/>
          <w:szCs w:val="22"/>
          <w:lang w:val="es-ES" w:eastAsia="es-ES"/>
        </w:rPr>
        <w:t>-</w:t>
      </w:r>
      <w:r w:rsidR="00462336">
        <w:rPr>
          <w:rFonts w:ascii="Verdana" w:hAnsi="Verdana" w:cs="Verdana"/>
          <w:b/>
          <w:bCs/>
          <w:i/>
          <w:iCs/>
          <w:sz w:val="22"/>
          <w:szCs w:val="22"/>
          <w:lang w:val="es-ES" w:eastAsia="es-ES"/>
        </w:rPr>
        <w:t>XXXX</w:t>
      </w:r>
      <w:r>
        <w:rPr>
          <w:rFonts w:ascii="Verdana" w:hAnsi="Verdana" w:cs="Verdana"/>
          <w:b/>
          <w:bCs/>
          <w:i/>
          <w:iCs/>
          <w:sz w:val="22"/>
          <w:szCs w:val="22"/>
          <w:lang w:val="es-ES" w:eastAsia="es-ES"/>
        </w:rPr>
        <w:t xml:space="preserve">, </w:t>
      </w:r>
      <w:r>
        <w:rPr>
          <w:rFonts w:ascii="Verdana" w:hAnsi="Verdana" w:cs="Verdana"/>
          <w:sz w:val="22"/>
          <w:szCs w:val="22"/>
          <w:lang w:val="es-ES" w:eastAsia="es-ES"/>
        </w:rPr>
        <w:t>por no tramitar el cambio de unidad una vez vencida la vida útil de este. (léase folio 60 al 80 del expediente administrativo)</w:t>
      </w:r>
    </w:p>
    <w:p w:rsidR="00617B56" w:rsidRDefault="00DD67AA">
      <w:pPr>
        <w:kinsoku w:val="0"/>
        <w:overflowPunct w:val="0"/>
        <w:autoSpaceDE/>
        <w:autoSpaceDN/>
        <w:adjustRightInd/>
        <w:spacing w:before="238" w:line="276"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De lo dicho hasta aquí se desvirtúa el argumento del recurrente de que actuó dentro de las prórrogas que dio el Consejo de Transporte Público, pues queda claro que se sujetó tal actuación a las resultas del procedimiento administrativo que en la especie determinó una vez otorgado el Debido Proceso que el recurrente de manera injustificada incurrió en falta a sus obligaciones.</w:t>
      </w:r>
    </w:p>
    <w:p w:rsidR="00617B56" w:rsidRDefault="00DD67AA">
      <w:pPr>
        <w:kinsoku w:val="0"/>
        <w:overflowPunct w:val="0"/>
        <w:autoSpaceDE/>
        <w:autoSpaceDN/>
        <w:adjustRightInd/>
        <w:spacing w:before="265" w:line="270"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Por lo dicho es el criterio de este Tribunal que, en el caso bajo análisis, el recurrente ha violentado la normativa existente y ha incurrido en graves incumplimientos del contrato de concesión otorgado.</w:t>
      </w:r>
    </w:p>
    <w:p w:rsidR="00617B56" w:rsidRDefault="00DD67AA">
      <w:pPr>
        <w:kinsoku w:val="0"/>
        <w:overflowPunct w:val="0"/>
        <w:autoSpaceDE/>
        <w:autoSpaceDN/>
        <w:adjustRightInd/>
        <w:spacing w:before="256" w:line="268"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El Decreto Ejecutivo Número 34103-MOPT, "Reforma al Artículo 5 del Reglamento Sobre Disposiciones Generales Que Deben Cumplir los Vehículos en la Modalidad de taxi y sus Reformas, Decreto Ejecutivo N° 32261-MOPT" establece en su numeral primero lo siguiente:</w:t>
      </w:r>
    </w:p>
    <w:p w:rsidR="00617B56" w:rsidRDefault="00DD67AA">
      <w:pPr>
        <w:kinsoku w:val="0"/>
        <w:overflowPunct w:val="0"/>
        <w:autoSpaceDE/>
        <w:autoSpaceDN/>
        <w:adjustRightInd/>
        <w:spacing w:before="249" w:line="251" w:lineRule="exact"/>
        <w:ind w:left="576" w:right="576"/>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"Artículo 1</w:t>
      </w:r>
      <w:r w:rsidR="00462336">
        <w:rPr>
          <w:rFonts w:ascii="Verdana" w:hAnsi="Verdana" w:cs="Verdana"/>
          <w:i/>
          <w:iCs/>
          <w:sz w:val="22"/>
          <w:szCs w:val="22"/>
          <w:vertAlign w:val="superscript"/>
          <w:lang w:val="es-ES" w:eastAsia="es-ES"/>
        </w:rPr>
        <w:t>°</w:t>
      </w:r>
      <w:r>
        <w:rPr>
          <w:rFonts w:ascii="Verdana" w:hAnsi="Verdana" w:cs="Verdana"/>
          <w:i/>
          <w:iCs/>
          <w:sz w:val="22"/>
          <w:szCs w:val="22"/>
          <w:lang w:val="es-ES" w:eastAsia="es-ES"/>
        </w:rPr>
        <w:t>Modifíquese el artículo 5 del Decreto N° 32261-MOPT, para que se lea de la siguiente manera:</w:t>
      </w:r>
    </w:p>
    <w:p w:rsidR="00617B56" w:rsidRDefault="00DD67AA" w:rsidP="00462336">
      <w:pPr>
        <w:kinsoku w:val="0"/>
        <w:overflowPunct w:val="0"/>
        <w:autoSpaceDE/>
        <w:autoSpaceDN/>
        <w:adjustRightInd/>
        <w:spacing w:before="234" w:line="245" w:lineRule="exact"/>
        <w:ind w:left="576" w:right="576"/>
        <w:jc w:val="both"/>
        <w:textAlignment w:val="baseline"/>
        <w:rPr>
          <w:rFonts w:ascii="Verdana" w:hAnsi="Verdana" w:cs="Verdana"/>
          <w:i/>
          <w:iCs/>
          <w:spacing w:val="-10"/>
          <w:sz w:val="22"/>
          <w:szCs w:val="22"/>
          <w:lang w:val="es-ES" w:eastAsia="es-ES"/>
        </w:rPr>
      </w:pPr>
      <w:r>
        <w:rPr>
          <w:rFonts w:ascii="Verdana" w:hAnsi="Verdana" w:cs="Verdana"/>
          <w:i/>
          <w:iCs/>
          <w:spacing w:val="-10"/>
          <w:sz w:val="22"/>
          <w:szCs w:val="22"/>
          <w:lang w:val="es-ES" w:eastAsia="es-ES"/>
        </w:rPr>
        <w:t xml:space="preserve">"Artículo 5°-Rango de antigüedad. Para la prestación del servicio público del transporte remunerado de personas modalidad taxi, los vehículos automotores que se utilicen en esta actividad </w:t>
      </w:r>
      <w:r>
        <w:rPr>
          <w:rFonts w:ascii="Verdana" w:hAnsi="Verdana" w:cs="Verdana"/>
          <w:b/>
          <w:bCs/>
          <w:spacing w:val="-10"/>
          <w:sz w:val="22"/>
          <w:szCs w:val="22"/>
          <w:u w:val="single"/>
          <w:lang w:val="es-ES" w:eastAsia="es-ES"/>
        </w:rPr>
        <w:t xml:space="preserve">no podrán contar con un rango </w:t>
      </w:r>
      <w:proofErr w:type="gramStart"/>
      <w:r>
        <w:rPr>
          <w:rFonts w:ascii="Verdana" w:hAnsi="Verdana" w:cs="Verdana"/>
          <w:b/>
          <w:bCs/>
          <w:spacing w:val="-10"/>
          <w:sz w:val="22"/>
          <w:szCs w:val="22"/>
          <w:u w:val="single"/>
          <w:lang w:val="es-ES" w:eastAsia="es-ES"/>
        </w:rPr>
        <w:t>de  antigüedad</w:t>
      </w:r>
      <w:proofErr w:type="gramEnd"/>
      <w:r>
        <w:rPr>
          <w:rFonts w:ascii="Verdana" w:hAnsi="Verdana" w:cs="Verdana"/>
          <w:b/>
          <w:bCs/>
          <w:spacing w:val="-10"/>
          <w:sz w:val="22"/>
          <w:szCs w:val="22"/>
          <w:u w:val="single"/>
          <w:lang w:val="es-ES" w:eastAsia="es-ES"/>
        </w:rPr>
        <w:t xml:space="preserve"> superior a los 15 años</w:t>
      </w:r>
      <w:r>
        <w:rPr>
          <w:rFonts w:ascii="Verdana" w:hAnsi="Verdana" w:cs="Verdana"/>
          <w:i/>
          <w:iCs/>
          <w:spacing w:val="-10"/>
          <w:sz w:val="22"/>
          <w:szCs w:val="22"/>
          <w:lang w:val="es-ES" w:eastAsia="es-ES"/>
        </w:rPr>
        <w:t xml:space="preserve"> contados a partir de su fecha de</w:t>
      </w:r>
      <w:r w:rsidR="00462336">
        <w:rPr>
          <w:rFonts w:ascii="Verdana" w:hAnsi="Verdana" w:cs="Verdana"/>
          <w:i/>
          <w:iCs/>
          <w:spacing w:val="-10"/>
          <w:sz w:val="22"/>
          <w:szCs w:val="22"/>
          <w:lang w:val="es-ES" w:eastAsia="es-ES"/>
        </w:rPr>
        <w:t xml:space="preserve"> </w:t>
      </w:r>
      <w:r>
        <w:rPr>
          <w:rFonts w:ascii="Verdana" w:hAnsi="Verdana" w:cs="Verdana"/>
          <w:i/>
          <w:iCs/>
          <w:spacing w:val="-10"/>
          <w:sz w:val="22"/>
          <w:szCs w:val="22"/>
          <w:lang w:val="es-ES" w:eastAsia="es-ES"/>
        </w:rPr>
        <w:t>fabricación</w:t>
      </w:r>
    </w:p>
    <w:p w:rsidR="00617B56" w:rsidRDefault="00462336" w:rsidP="00462336">
      <w:pPr>
        <w:kinsoku w:val="0"/>
        <w:overflowPunct w:val="0"/>
        <w:autoSpaceDE/>
        <w:autoSpaceDN/>
        <w:adjustRightInd/>
        <w:spacing w:before="172" w:after="675" w:line="250" w:lineRule="exact"/>
        <w:ind w:left="576" w:right="576" w:hanging="9"/>
        <w:jc w:val="both"/>
        <w:textAlignment w:val="baseline"/>
        <w:rPr>
          <w:rFonts w:ascii="Verdana" w:hAnsi="Verdana" w:cs="Verdana"/>
          <w:i/>
          <w:iCs/>
          <w:spacing w:val="-11"/>
          <w:sz w:val="22"/>
          <w:szCs w:val="22"/>
          <w:lang w:val="es-ES" w:eastAsia="es-ES"/>
        </w:rPr>
      </w:pPr>
      <w:r>
        <w:rPr>
          <w:rFonts w:ascii="Verdana" w:hAnsi="Verdana" w:cs="Verdana"/>
          <w:i/>
          <w:iCs/>
          <w:spacing w:val="-40"/>
          <w:sz w:val="22"/>
          <w:szCs w:val="22"/>
          <w:lang w:val="es-ES" w:eastAsia="es-ES"/>
        </w:rPr>
        <w:t>Pa</w:t>
      </w:r>
      <w:r w:rsidR="00DD67AA">
        <w:rPr>
          <w:rFonts w:ascii="Verdana" w:hAnsi="Verdana" w:cs="Verdana"/>
          <w:i/>
          <w:iCs/>
          <w:spacing w:val="-11"/>
          <w:sz w:val="22"/>
          <w:szCs w:val="22"/>
          <w:lang w:val="es-ES" w:eastAsia="es-ES"/>
        </w:rPr>
        <w:t>ra tales efecto</w:t>
      </w:r>
      <w:r>
        <w:rPr>
          <w:rFonts w:ascii="Verdana" w:hAnsi="Verdana" w:cs="Verdana"/>
          <w:i/>
          <w:iCs/>
          <w:spacing w:val="-11"/>
          <w:sz w:val="22"/>
          <w:szCs w:val="22"/>
          <w:lang w:val="es-ES" w:eastAsia="es-ES"/>
        </w:rPr>
        <w:t>s</w:t>
      </w:r>
      <w:r w:rsidR="00DD67AA">
        <w:rPr>
          <w:rFonts w:ascii="Verdana" w:hAnsi="Verdana" w:cs="Verdana"/>
          <w:i/>
          <w:iCs/>
          <w:spacing w:val="-11"/>
          <w:sz w:val="22"/>
          <w:szCs w:val="22"/>
          <w:lang w:val="es-ES" w:eastAsia="es-ES"/>
        </w:rPr>
        <w:t xml:space="preserve">, </w:t>
      </w:r>
      <w:r>
        <w:rPr>
          <w:rFonts w:ascii="Verdana" w:hAnsi="Verdana" w:cs="Verdana"/>
          <w:i/>
          <w:iCs/>
          <w:spacing w:val="-11"/>
          <w:sz w:val="22"/>
          <w:szCs w:val="22"/>
          <w:lang w:val="es-ES" w:eastAsia="es-ES"/>
        </w:rPr>
        <w:t>l</w:t>
      </w:r>
      <w:r w:rsidR="00DD67AA">
        <w:rPr>
          <w:rFonts w:ascii="Verdana" w:hAnsi="Verdana" w:cs="Verdana"/>
          <w:i/>
          <w:iCs/>
          <w:spacing w:val="-11"/>
          <w:sz w:val="22"/>
          <w:szCs w:val="22"/>
          <w:lang w:val="es-ES" w:eastAsia="es-ES"/>
        </w:rPr>
        <w:t xml:space="preserve">a vida máxima autorizada será la indicada en el párrafo anterior, y </w:t>
      </w:r>
      <w:r w:rsidR="00DD67AA">
        <w:rPr>
          <w:rFonts w:ascii="Verdana" w:hAnsi="Verdana" w:cs="Verdana"/>
          <w:b/>
          <w:bCs/>
          <w:i/>
          <w:iCs/>
          <w:spacing w:val="-11"/>
          <w:sz w:val="22"/>
          <w:szCs w:val="22"/>
          <w:u w:val="single"/>
          <w:lang w:val="es-ES" w:eastAsia="es-ES"/>
        </w:rPr>
        <w:t>por ninguna causa, podrá autorizarse la circulación de unidades que excedan el rango de antigüedad</w:t>
      </w:r>
      <w:r w:rsidR="00DD67AA">
        <w:rPr>
          <w:rFonts w:ascii="Verdana" w:hAnsi="Verdana" w:cs="Verdana"/>
          <w:i/>
          <w:iCs/>
          <w:spacing w:val="-11"/>
          <w:sz w:val="22"/>
          <w:szCs w:val="22"/>
          <w:lang w:val="es-ES" w:eastAsia="es-ES"/>
        </w:rPr>
        <w:t xml:space="preserve"> aludido"." (El resaltado es nuestro)</w:t>
      </w:r>
    </w:p>
    <w:p w:rsidR="00617B56" w:rsidRDefault="00617B56">
      <w:pPr>
        <w:widowControl/>
        <w:rPr>
          <w:sz w:val="24"/>
          <w:szCs w:val="24"/>
        </w:rPr>
        <w:sectPr w:rsidR="00617B56">
          <w:pgSz w:w="12336" w:h="15859"/>
          <w:pgMar w:top="1300" w:right="1543" w:bottom="303" w:left="1544" w:header="720" w:footer="720" w:gutter="0"/>
          <w:cols w:space="720"/>
          <w:noEndnote/>
        </w:sectPr>
      </w:pPr>
    </w:p>
    <w:p w:rsidR="00617B56" w:rsidRDefault="00DD67AA">
      <w:pPr>
        <w:kinsoku w:val="0"/>
        <w:overflowPunct w:val="0"/>
        <w:autoSpaceDE/>
        <w:autoSpaceDN/>
        <w:adjustRightInd/>
        <w:spacing w:line="270"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Por su parte la Ley 7969, determina que la concesión puede ser cancelada si se incumple con los deberes fijados en el ordenamiento a jurídico aplicable a la materia, por parte del concesionario.</w:t>
      </w:r>
    </w:p>
    <w:p w:rsidR="00617B56" w:rsidRDefault="00DD67AA">
      <w:pPr>
        <w:kinsoku w:val="0"/>
        <w:overflowPunct w:val="0"/>
        <w:autoSpaceDE/>
        <w:autoSpaceDN/>
        <w:adjustRightInd/>
        <w:spacing w:before="256" w:line="273"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El Consejo podrá cancelar la concesión administrativamente, según lo señalado en el Artículo 40 de esa ley, por las siguientes causales:</w:t>
      </w:r>
    </w:p>
    <w:p w:rsidR="00617B56" w:rsidRDefault="00DD67AA">
      <w:pPr>
        <w:kinsoku w:val="0"/>
        <w:overflowPunct w:val="0"/>
        <w:autoSpaceDE/>
        <w:autoSpaceDN/>
        <w:adjustRightInd/>
        <w:spacing w:before="292" w:line="245" w:lineRule="exact"/>
        <w:ind w:left="720" w:right="720" w:firstLine="360"/>
        <w:textAlignment w:val="baseline"/>
        <w:rPr>
          <w:rFonts w:ascii="Verdana" w:hAnsi="Verdana" w:cs="Verdana"/>
          <w:b/>
          <w:bCs/>
          <w:i/>
          <w:iCs/>
          <w:sz w:val="19"/>
          <w:szCs w:val="19"/>
          <w:lang w:val="es-ES" w:eastAsia="es-ES"/>
        </w:rPr>
      </w:pPr>
      <w:r>
        <w:rPr>
          <w:rFonts w:ascii="Verdana" w:hAnsi="Verdana" w:cs="Verdana"/>
          <w:b/>
          <w:bCs/>
          <w:i/>
          <w:iCs/>
          <w:sz w:val="19"/>
          <w:szCs w:val="19"/>
          <w:lang w:val="es-ES" w:eastAsia="es-ES"/>
        </w:rPr>
        <w:t>" a) Incumplir las obligaciones y los deberes fijados en esta ley, su reglamento, el contrato o leyes y reglamentos conexos.</w:t>
      </w:r>
    </w:p>
    <w:p w:rsidR="00617B56" w:rsidRDefault="00DD67AA">
      <w:pPr>
        <w:numPr>
          <w:ilvl w:val="0"/>
          <w:numId w:val="7"/>
        </w:numPr>
        <w:kinsoku w:val="0"/>
        <w:overflowPunct w:val="0"/>
        <w:autoSpaceDE/>
        <w:autoSpaceDN/>
        <w:adjustRightInd/>
        <w:spacing w:before="1" w:line="245" w:lineRule="exact"/>
        <w:ind w:right="72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Comprobar, en cualquier momento, la presentación de datos falsos o inexactos en la oferta.</w:t>
      </w:r>
    </w:p>
    <w:p w:rsidR="00617B56" w:rsidRDefault="00DD67AA">
      <w:pPr>
        <w:numPr>
          <w:ilvl w:val="0"/>
          <w:numId w:val="7"/>
        </w:numPr>
        <w:kinsoku w:val="0"/>
        <w:overflowPunct w:val="0"/>
        <w:autoSpaceDE/>
        <w:autoSpaceDN/>
        <w:adjustRightInd/>
        <w:spacing w:line="244" w:lineRule="exact"/>
        <w:jc w:val="both"/>
        <w:textAlignment w:val="baseline"/>
        <w:rPr>
          <w:rFonts w:ascii="Verdana" w:hAnsi="Verdana" w:cs="Verdana"/>
          <w:i/>
          <w:iCs/>
          <w:spacing w:val="-10"/>
          <w:sz w:val="22"/>
          <w:szCs w:val="22"/>
          <w:lang w:val="es-ES" w:eastAsia="es-ES"/>
        </w:rPr>
      </w:pPr>
      <w:r>
        <w:rPr>
          <w:rFonts w:ascii="Verdana" w:hAnsi="Verdana" w:cs="Verdana"/>
          <w:i/>
          <w:iCs/>
          <w:spacing w:val="-10"/>
          <w:sz w:val="22"/>
          <w:szCs w:val="22"/>
          <w:lang w:val="es-ES" w:eastAsia="es-ES"/>
        </w:rPr>
        <w:t>Ceder la concesión a favor de un tercero, sin autorización del Consejo.</w:t>
      </w:r>
    </w:p>
    <w:p w:rsidR="00617B56" w:rsidRDefault="00DD67AA">
      <w:pPr>
        <w:numPr>
          <w:ilvl w:val="0"/>
          <w:numId w:val="7"/>
        </w:numPr>
        <w:kinsoku w:val="0"/>
        <w:overflowPunct w:val="0"/>
        <w:autoSpaceDE/>
        <w:autoSpaceDN/>
        <w:adjustRightInd/>
        <w:spacing w:line="244" w:lineRule="exact"/>
        <w:ind w:right="72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Dejar de formalizar el contrato de concesión por treinta días, contados a partir de la adjudicación.</w:t>
      </w:r>
    </w:p>
    <w:p w:rsidR="00617B56" w:rsidRDefault="00DD67AA">
      <w:pPr>
        <w:numPr>
          <w:ilvl w:val="0"/>
          <w:numId w:val="7"/>
        </w:numPr>
        <w:kinsoku w:val="0"/>
        <w:overflowPunct w:val="0"/>
        <w:autoSpaceDE/>
        <w:autoSpaceDN/>
        <w:adjustRightInd/>
        <w:spacing w:before="1" w:line="245" w:lineRule="exact"/>
        <w:ind w:right="720"/>
        <w:jc w:val="both"/>
        <w:textAlignment w:val="baseline"/>
        <w:rPr>
          <w:rFonts w:ascii="Verdana" w:hAnsi="Verdana" w:cs="Verdana"/>
          <w:i/>
          <w:iCs/>
          <w:spacing w:val="-13"/>
          <w:sz w:val="22"/>
          <w:szCs w:val="22"/>
          <w:lang w:val="es-ES" w:eastAsia="es-ES"/>
        </w:rPr>
      </w:pPr>
      <w:r>
        <w:rPr>
          <w:rFonts w:ascii="Verdana" w:hAnsi="Verdana" w:cs="Verdana"/>
          <w:i/>
          <w:iCs/>
          <w:spacing w:val="-13"/>
          <w:sz w:val="22"/>
          <w:szCs w:val="22"/>
          <w:lang w:val="es-ES" w:eastAsia="es-ES"/>
        </w:rPr>
        <w:t>Incurrir en las causales establecidas para la rescisión y resolución contractual dispuestas en la Ley de Contratación Administrativa y su reglamento.</w:t>
      </w:r>
    </w:p>
    <w:p w:rsidR="00617B56" w:rsidRDefault="00DD67AA">
      <w:pPr>
        <w:numPr>
          <w:ilvl w:val="0"/>
          <w:numId w:val="7"/>
        </w:numPr>
        <w:kinsoku w:val="0"/>
        <w:overflowPunct w:val="0"/>
        <w:autoSpaceDE/>
        <w:autoSpaceDN/>
        <w:adjustRightInd/>
        <w:spacing w:before="3" w:line="245" w:lineRule="exact"/>
        <w:jc w:val="both"/>
        <w:textAlignment w:val="baseline"/>
        <w:rPr>
          <w:rFonts w:ascii="Verdana" w:hAnsi="Verdana" w:cs="Verdana"/>
          <w:i/>
          <w:iCs/>
          <w:spacing w:val="-12"/>
          <w:sz w:val="22"/>
          <w:szCs w:val="22"/>
          <w:lang w:val="es-ES" w:eastAsia="es-ES"/>
        </w:rPr>
      </w:pPr>
      <w:r>
        <w:rPr>
          <w:rFonts w:ascii="Verdana" w:hAnsi="Verdana" w:cs="Verdana"/>
          <w:i/>
          <w:iCs/>
          <w:spacing w:val="-12"/>
          <w:sz w:val="22"/>
          <w:szCs w:val="22"/>
          <w:lang w:val="es-ES" w:eastAsia="es-ES"/>
        </w:rPr>
        <w:t>Cumplir el plazo.</w:t>
      </w:r>
    </w:p>
    <w:p w:rsidR="00617B56" w:rsidRDefault="00DD67AA">
      <w:pPr>
        <w:numPr>
          <w:ilvl w:val="0"/>
          <w:numId w:val="7"/>
        </w:numPr>
        <w:kinsoku w:val="0"/>
        <w:overflowPunct w:val="0"/>
        <w:autoSpaceDE/>
        <w:autoSpaceDN/>
        <w:adjustRightInd/>
        <w:spacing w:line="245" w:lineRule="exact"/>
        <w:ind w:right="72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Por remate judicial, declarado en sentencia firme, del vehículo objeto de la concesión." (el resaltado es nuestro)</w:t>
      </w:r>
    </w:p>
    <w:p w:rsidR="00617B56" w:rsidRDefault="00DD67AA">
      <w:pPr>
        <w:kinsoku w:val="0"/>
        <w:overflowPunct w:val="0"/>
        <w:autoSpaceDE/>
        <w:autoSpaceDN/>
        <w:adjustRightInd/>
        <w:spacing w:before="252" w:line="273"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Por lo anterior es claro el incumplimiento por parte del concesionario y dado que el acto ha sido adoptado dentro del marco de Legalidad, motivado debidamente, no existe vicio alguno que comporte su nulidad, por lo que debe declararse sin lugar el recurso bajo análisis.</w:t>
      </w:r>
    </w:p>
    <w:p w:rsidR="00617B56" w:rsidRDefault="00DD67AA">
      <w:pPr>
        <w:kinsoku w:val="0"/>
        <w:overflowPunct w:val="0"/>
        <w:autoSpaceDE/>
        <w:autoSpaceDN/>
        <w:adjustRightInd/>
        <w:spacing w:before="261" w:line="261" w:lineRule="exact"/>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POR TANTO</w:t>
      </w:r>
    </w:p>
    <w:p w:rsidR="00617B56" w:rsidRDefault="00DD67AA">
      <w:pPr>
        <w:numPr>
          <w:ilvl w:val="0"/>
          <w:numId w:val="8"/>
        </w:numPr>
        <w:kinsoku w:val="0"/>
        <w:overflowPunct w:val="0"/>
        <w:autoSpaceDE/>
        <w:autoSpaceDN/>
        <w:adjustRightInd/>
        <w:spacing w:before="544" w:line="266" w:lineRule="exact"/>
        <w:ind w:right="144"/>
        <w:jc w:val="both"/>
        <w:textAlignment w:val="baseline"/>
        <w:rPr>
          <w:rFonts w:ascii="Verdana" w:hAnsi="Verdana" w:cs="Verdana"/>
          <w:spacing w:val="-8"/>
          <w:sz w:val="22"/>
          <w:szCs w:val="22"/>
          <w:lang w:val="es-ES" w:eastAsia="es-ES"/>
        </w:rPr>
      </w:pPr>
      <w:r>
        <w:rPr>
          <w:rFonts w:ascii="Verdana" w:hAnsi="Verdana" w:cs="Verdana"/>
          <w:spacing w:val="-8"/>
          <w:sz w:val="22"/>
          <w:szCs w:val="22"/>
          <w:lang w:val="es-ES" w:eastAsia="es-ES"/>
        </w:rPr>
        <w:t xml:space="preserve">Se declara sin lugar el </w:t>
      </w:r>
      <w:r>
        <w:rPr>
          <w:rFonts w:ascii="Verdana" w:hAnsi="Verdana" w:cs="Verdana"/>
          <w:b/>
          <w:bCs/>
          <w:spacing w:val="-8"/>
          <w:sz w:val="22"/>
          <w:szCs w:val="22"/>
          <w:lang w:val="es-ES" w:eastAsia="es-ES"/>
        </w:rPr>
        <w:t xml:space="preserve">RECURSO DE APELACIÓN EN SUBSIDIO, </w:t>
      </w:r>
      <w:r>
        <w:rPr>
          <w:rFonts w:ascii="Verdana" w:hAnsi="Verdana" w:cs="Verdana"/>
          <w:spacing w:val="-8"/>
          <w:sz w:val="22"/>
          <w:szCs w:val="22"/>
          <w:lang w:val="es-ES" w:eastAsia="es-ES"/>
        </w:rPr>
        <w:t xml:space="preserve">interpuesto por </w:t>
      </w:r>
      <w:r>
        <w:rPr>
          <w:rFonts w:ascii="Verdana" w:hAnsi="Verdana" w:cs="Verdana"/>
          <w:b/>
          <w:bCs/>
          <w:spacing w:val="-8"/>
          <w:sz w:val="22"/>
          <w:szCs w:val="22"/>
          <w:lang w:val="es-ES" w:eastAsia="es-ES"/>
        </w:rPr>
        <w:t xml:space="preserve">O.G.S.H., cédula de identidad número …, </w:t>
      </w:r>
      <w:r>
        <w:rPr>
          <w:rFonts w:ascii="Verdana" w:hAnsi="Verdana" w:cs="Verdana"/>
          <w:spacing w:val="-8"/>
          <w:sz w:val="22"/>
          <w:szCs w:val="22"/>
          <w:lang w:val="es-ES" w:eastAsia="es-ES"/>
        </w:rPr>
        <w:t xml:space="preserve">contra el </w:t>
      </w:r>
      <w:r>
        <w:rPr>
          <w:rFonts w:ascii="Verdana" w:hAnsi="Verdana" w:cs="Verdana"/>
          <w:b/>
          <w:bCs/>
          <w:spacing w:val="-8"/>
          <w:sz w:val="22"/>
          <w:szCs w:val="22"/>
          <w:lang w:val="es-ES" w:eastAsia="es-ES"/>
        </w:rPr>
        <w:t xml:space="preserve">artículo 7.8.2 de la Sesión Ordinaria 13-2017 de 22 de marzo de 2017, </w:t>
      </w:r>
      <w:r>
        <w:rPr>
          <w:rFonts w:ascii="Verdana" w:hAnsi="Verdana" w:cs="Verdana"/>
          <w:spacing w:val="-8"/>
          <w:sz w:val="22"/>
          <w:szCs w:val="22"/>
          <w:lang w:val="es-ES" w:eastAsia="es-ES"/>
        </w:rPr>
        <w:t>dictado por la JUNTA DIRECTIVA DEL CONSEJO DE TRANSPORTE PÚBLICO</w:t>
      </w:r>
    </w:p>
    <w:p w:rsidR="00617B56" w:rsidRDefault="00DD67AA">
      <w:pPr>
        <w:numPr>
          <w:ilvl w:val="0"/>
          <w:numId w:val="9"/>
        </w:numPr>
        <w:kinsoku w:val="0"/>
        <w:overflowPunct w:val="0"/>
        <w:autoSpaceDE/>
        <w:autoSpaceDN/>
        <w:adjustRightInd/>
        <w:spacing w:before="259" w:line="273" w:lineRule="exact"/>
        <w:ind w:right="144"/>
        <w:jc w:val="both"/>
        <w:textAlignment w:val="baseline"/>
        <w:rPr>
          <w:rFonts w:ascii="Verdana" w:hAnsi="Verdana" w:cs="Verdana"/>
          <w:i/>
          <w:iCs/>
          <w:spacing w:val="-1"/>
          <w:sz w:val="22"/>
          <w:szCs w:val="22"/>
          <w:lang w:val="es-ES" w:eastAsia="es-ES"/>
        </w:rPr>
      </w:pPr>
      <w:r>
        <w:rPr>
          <w:rFonts w:ascii="Verdana" w:hAnsi="Verdana" w:cs="Verdana"/>
          <w:spacing w:val="-1"/>
          <w:sz w:val="22"/>
          <w:szCs w:val="22"/>
          <w:lang w:val="es-ES" w:eastAsia="es-ES"/>
        </w:rPr>
        <w:t xml:space="preserve">De conformidad con el artículo 22, inciso c), de la citada Ley 7969, la presente resolución no tiene ulterior recurso por lo que, </w:t>
      </w:r>
      <w:r>
        <w:rPr>
          <w:rFonts w:ascii="Verdana" w:hAnsi="Verdana" w:cs="Verdana"/>
          <w:b/>
          <w:bCs/>
          <w:spacing w:val="-1"/>
          <w:sz w:val="22"/>
          <w:szCs w:val="22"/>
          <w:lang w:val="es-ES" w:eastAsia="es-ES"/>
        </w:rPr>
        <w:t xml:space="preserve">se </w:t>
      </w:r>
      <w:r>
        <w:rPr>
          <w:rFonts w:ascii="Verdana" w:hAnsi="Verdana" w:cs="Verdana"/>
          <w:i/>
          <w:iCs/>
          <w:spacing w:val="-1"/>
          <w:sz w:val="22"/>
          <w:szCs w:val="22"/>
          <w:lang w:val="es-ES" w:eastAsia="es-ES"/>
        </w:rPr>
        <w:t>tiene por agotada la</w:t>
      </w:r>
    </w:p>
    <w:p w:rsidR="00DD67AA" w:rsidRDefault="00DD67AA" w:rsidP="00DD67AA">
      <w:pPr>
        <w:kinsoku w:val="0"/>
        <w:overflowPunct w:val="0"/>
        <w:autoSpaceDE/>
        <w:autoSpaceDN/>
        <w:adjustRightInd/>
        <w:spacing w:before="49" w:after="34" w:line="263" w:lineRule="exact"/>
        <w:ind w:left="144"/>
        <w:textAlignment w:val="baseline"/>
        <w:rPr>
          <w:rFonts w:ascii="Verdana" w:hAnsi="Verdana" w:cs="Verdana"/>
          <w:b/>
          <w:bCs/>
          <w:sz w:val="22"/>
          <w:szCs w:val="22"/>
          <w:lang w:val="es-ES" w:eastAsia="es-ES"/>
        </w:rPr>
      </w:pPr>
      <w:r>
        <w:rPr>
          <w:rFonts w:ascii="Verdana" w:hAnsi="Verdana" w:cs="Verdana"/>
          <w:i/>
          <w:iCs/>
          <w:sz w:val="22"/>
          <w:szCs w:val="22"/>
          <w:lang w:val="es-ES" w:eastAsia="es-ES"/>
        </w:rPr>
        <w:t xml:space="preserve">vía administrativa. </w:t>
      </w:r>
      <w:r>
        <w:rPr>
          <w:rFonts w:ascii="Verdana" w:hAnsi="Verdana" w:cs="Verdana"/>
          <w:b/>
          <w:bCs/>
          <w:sz w:val="22"/>
          <w:szCs w:val="22"/>
          <w:lang w:val="es-ES" w:eastAsia="es-ES"/>
        </w:rPr>
        <w:t>NOTIFIQUESE. –</w:t>
      </w:r>
    </w:p>
    <w:p w:rsidR="00DD67AA" w:rsidRDefault="00DD67AA" w:rsidP="00DD67AA">
      <w:pPr>
        <w:kinsoku w:val="0"/>
        <w:overflowPunct w:val="0"/>
        <w:autoSpaceDE/>
        <w:autoSpaceDN/>
        <w:adjustRightInd/>
        <w:spacing w:before="49" w:after="34" w:line="263" w:lineRule="exact"/>
        <w:ind w:left="144"/>
        <w:textAlignment w:val="baseline"/>
        <w:rPr>
          <w:rFonts w:ascii="Verdana" w:hAnsi="Verdana" w:cs="Verdana"/>
          <w:sz w:val="22"/>
          <w:szCs w:val="22"/>
          <w:lang w:val="es-ES" w:eastAsia="es-ES"/>
        </w:rPr>
      </w:pPr>
    </w:p>
    <w:p w:rsidR="00DD67AA" w:rsidRPr="00DE692E" w:rsidRDefault="00DD67AA" w:rsidP="00DD67AA">
      <w:pPr>
        <w:kinsoku w:val="0"/>
        <w:overflowPunct w:val="0"/>
        <w:autoSpaceDE/>
        <w:autoSpaceDN/>
        <w:adjustRightInd/>
        <w:spacing w:after="374" w:line="320" w:lineRule="exact"/>
        <w:ind w:right="72"/>
        <w:jc w:val="center"/>
        <w:textAlignment w:val="baseline"/>
        <w:rPr>
          <w:b/>
          <w:bCs/>
          <w:sz w:val="24"/>
          <w:szCs w:val="24"/>
          <w:lang w:val="es-ES" w:eastAsia="es-ES"/>
        </w:rPr>
      </w:pPr>
      <w:r w:rsidRPr="00DE692E">
        <w:rPr>
          <w:i/>
          <w:iCs/>
          <w:spacing w:val="5"/>
          <w:sz w:val="26"/>
          <w:szCs w:val="26"/>
        </w:rPr>
        <w:t>Lic. Carlos Miguel Portuguez Méndez</w:t>
      </w:r>
    </w:p>
    <w:p w:rsidR="00DD67AA" w:rsidRPr="00DE692E" w:rsidRDefault="00DD67AA" w:rsidP="00DD67AA">
      <w:pPr>
        <w:kinsoku w:val="0"/>
        <w:overflowPunct w:val="0"/>
        <w:autoSpaceDE/>
        <w:autoSpaceDN/>
        <w:adjustRightInd/>
        <w:spacing w:after="301" w:line="288" w:lineRule="exact"/>
        <w:jc w:val="center"/>
        <w:textAlignment w:val="baseline"/>
        <w:rPr>
          <w:b/>
          <w:i/>
          <w:iCs/>
          <w:spacing w:val="5"/>
          <w:sz w:val="26"/>
          <w:szCs w:val="26"/>
          <w:lang w:val="es-CR"/>
        </w:rPr>
      </w:pPr>
      <w:r w:rsidRPr="00DE692E">
        <w:rPr>
          <w:b/>
          <w:i/>
          <w:iCs/>
          <w:spacing w:val="5"/>
          <w:sz w:val="26"/>
          <w:szCs w:val="26"/>
          <w:lang w:val="es-CR"/>
        </w:rPr>
        <w:t>Presidente</w:t>
      </w:r>
    </w:p>
    <w:p w:rsidR="00DD67AA" w:rsidRDefault="00DD67AA" w:rsidP="00DD67AA">
      <w:pPr>
        <w:kinsoku w:val="0"/>
        <w:overflowPunct w:val="0"/>
        <w:autoSpaceDE/>
        <w:autoSpaceDN/>
        <w:adjustRightInd/>
        <w:spacing w:after="870" w:line="303" w:lineRule="exact"/>
        <w:ind w:right="216"/>
        <w:jc w:val="center"/>
        <w:textAlignment w:val="baseline"/>
        <w:rPr>
          <w:b/>
          <w:bCs/>
          <w:sz w:val="23"/>
          <w:szCs w:val="23"/>
          <w:lang w:val="es-ES" w:eastAsia="es-ES"/>
        </w:rPr>
      </w:pPr>
      <w:r w:rsidRPr="00DE692E">
        <w:rPr>
          <w:i/>
          <w:iCs/>
          <w:spacing w:val="5"/>
          <w:sz w:val="26"/>
          <w:szCs w:val="26"/>
        </w:rPr>
        <w:t>Licda. Marta Luz Pérez Peláez</w:t>
      </w:r>
      <w:r w:rsidRPr="00DE692E">
        <w:rPr>
          <w:i/>
          <w:iCs/>
          <w:spacing w:val="5"/>
          <w:sz w:val="26"/>
          <w:szCs w:val="26"/>
        </w:rPr>
        <w:tab/>
      </w:r>
      <w:r w:rsidRPr="00DE692E">
        <w:rPr>
          <w:i/>
          <w:iCs/>
          <w:spacing w:val="5"/>
          <w:sz w:val="26"/>
          <w:szCs w:val="26"/>
        </w:rPr>
        <w:tab/>
        <w:t>Lic. Mario Quesada Aguirre</w:t>
      </w:r>
      <w:r w:rsidRPr="00DE692E">
        <w:rPr>
          <w:i/>
          <w:iCs/>
          <w:spacing w:val="5"/>
          <w:sz w:val="26"/>
          <w:szCs w:val="26"/>
        </w:rPr>
        <w:tab/>
        <w:t xml:space="preserve">                </w:t>
      </w:r>
      <w:r w:rsidRPr="00DE692E">
        <w:rPr>
          <w:b/>
          <w:i/>
          <w:iCs/>
          <w:spacing w:val="5"/>
          <w:sz w:val="26"/>
          <w:szCs w:val="26"/>
        </w:rPr>
        <w:t>JUEZA</w:t>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JUEZ</w:t>
      </w:r>
    </w:p>
    <w:p w:rsidR="00DD67AA" w:rsidRDefault="00DD67AA" w:rsidP="00DD67AA">
      <w:pPr>
        <w:kinsoku w:val="0"/>
        <w:overflowPunct w:val="0"/>
        <w:autoSpaceDE/>
        <w:autoSpaceDN/>
        <w:adjustRightInd/>
        <w:spacing w:before="49" w:after="34" w:line="263" w:lineRule="exact"/>
        <w:ind w:left="144"/>
        <w:textAlignment w:val="baseline"/>
        <w:rPr>
          <w:rFonts w:ascii="Verdana" w:hAnsi="Verdana" w:cs="Verdana"/>
          <w:b/>
          <w:bCs/>
          <w:sz w:val="22"/>
          <w:szCs w:val="22"/>
          <w:lang w:val="es-ES" w:eastAsia="es-ES"/>
        </w:rPr>
      </w:pPr>
    </w:p>
    <w:sectPr w:rsidR="00DD67AA">
      <w:pgSz w:w="12336" w:h="15859"/>
      <w:pgMar w:top="1680" w:right="1536" w:bottom="223" w:left="15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6B40"/>
    <w:multiLevelType w:val="singleLevel"/>
    <w:tmpl w:val="28CAAE38"/>
    <w:lvl w:ilvl="0">
      <w:start w:val="2"/>
      <w:numFmt w:val="lowerLetter"/>
      <w:lvlText w:val="%1)"/>
      <w:lvlJc w:val="left"/>
      <w:pPr>
        <w:tabs>
          <w:tab w:val="num" w:pos="1368"/>
        </w:tabs>
        <w:ind w:left="720" w:firstLine="360"/>
      </w:pPr>
      <w:rPr>
        <w:rFonts w:ascii="Verdana" w:hAnsi="Verdana" w:cs="Verdana"/>
        <w:i/>
        <w:iCs/>
        <w:snapToGrid/>
        <w:sz w:val="22"/>
        <w:szCs w:val="22"/>
      </w:rPr>
    </w:lvl>
  </w:abstractNum>
  <w:abstractNum w:abstractNumId="1" w15:restartNumberingAfterBreak="0">
    <w:nsid w:val="02F037DF"/>
    <w:multiLevelType w:val="singleLevel"/>
    <w:tmpl w:val="AD0A0C16"/>
    <w:lvl w:ilvl="0">
      <w:start w:val="1"/>
      <w:numFmt w:val="upperRoman"/>
      <w:lvlText w:val="%1.-"/>
      <w:lvlJc w:val="left"/>
      <w:pPr>
        <w:tabs>
          <w:tab w:val="num" w:pos="576"/>
        </w:tabs>
        <w:ind w:left="216"/>
      </w:pPr>
      <w:rPr>
        <w:rFonts w:ascii="Verdana" w:hAnsi="Verdana" w:cs="Verdana"/>
        <w:b/>
        <w:snapToGrid/>
        <w:spacing w:val="-8"/>
        <w:sz w:val="22"/>
        <w:szCs w:val="22"/>
      </w:rPr>
    </w:lvl>
  </w:abstractNum>
  <w:abstractNum w:abstractNumId="2" w15:restartNumberingAfterBreak="0">
    <w:nsid w:val="0344D41D"/>
    <w:multiLevelType w:val="singleLevel"/>
    <w:tmpl w:val="2117B426"/>
    <w:lvl w:ilvl="0">
      <w:start w:val="1"/>
      <w:numFmt w:val="decimal"/>
      <w:lvlText w:val="%1)"/>
      <w:lvlJc w:val="left"/>
      <w:pPr>
        <w:tabs>
          <w:tab w:val="num" w:pos="792"/>
        </w:tabs>
        <w:ind w:left="576"/>
      </w:pPr>
      <w:rPr>
        <w:rFonts w:ascii="Verdana" w:hAnsi="Verdana" w:cs="Verdana"/>
        <w:snapToGrid/>
        <w:spacing w:val="-7"/>
        <w:sz w:val="17"/>
        <w:szCs w:val="17"/>
      </w:rPr>
    </w:lvl>
  </w:abstractNum>
  <w:abstractNum w:abstractNumId="3" w15:restartNumberingAfterBreak="0">
    <w:nsid w:val="05900848"/>
    <w:multiLevelType w:val="singleLevel"/>
    <w:tmpl w:val="D99CAD24"/>
    <w:lvl w:ilvl="0">
      <w:start w:val="2"/>
      <w:numFmt w:val="upperLetter"/>
      <w:lvlText w:val="%1).-"/>
      <w:lvlJc w:val="left"/>
      <w:pPr>
        <w:tabs>
          <w:tab w:val="num" w:pos="720"/>
        </w:tabs>
        <w:ind w:left="144"/>
      </w:pPr>
      <w:rPr>
        <w:rFonts w:ascii="Verdana" w:hAnsi="Verdana" w:cs="Verdana"/>
        <w:b/>
        <w:snapToGrid/>
        <w:sz w:val="22"/>
        <w:szCs w:val="22"/>
      </w:rPr>
    </w:lvl>
  </w:abstractNum>
  <w:abstractNum w:abstractNumId="4" w15:restartNumberingAfterBreak="0">
    <w:nsid w:val="0700D5E7"/>
    <w:multiLevelType w:val="singleLevel"/>
    <w:tmpl w:val="5B7A5398"/>
    <w:lvl w:ilvl="0">
      <w:start w:val="1"/>
      <w:numFmt w:val="decimal"/>
      <w:lvlText w:val="%1.-"/>
      <w:lvlJc w:val="left"/>
      <w:pPr>
        <w:tabs>
          <w:tab w:val="num" w:pos="504"/>
        </w:tabs>
        <w:ind w:left="144"/>
      </w:pPr>
      <w:rPr>
        <w:rFonts w:ascii="Verdana" w:hAnsi="Verdana" w:cs="Verdana"/>
        <w:b/>
        <w:bCs/>
        <w:snapToGrid/>
        <w:sz w:val="22"/>
        <w:szCs w:val="22"/>
      </w:rPr>
    </w:lvl>
  </w:abstractNum>
  <w:abstractNum w:abstractNumId="5" w15:restartNumberingAfterBreak="0">
    <w:nsid w:val="078A2E2A"/>
    <w:multiLevelType w:val="singleLevel"/>
    <w:tmpl w:val="123AEEBC"/>
    <w:lvl w:ilvl="0">
      <w:start w:val="4"/>
      <w:numFmt w:val="decimal"/>
      <w:lvlText w:val="%1.-"/>
      <w:lvlJc w:val="left"/>
      <w:pPr>
        <w:tabs>
          <w:tab w:val="num" w:pos="504"/>
        </w:tabs>
        <w:ind w:left="72"/>
      </w:pPr>
      <w:rPr>
        <w:rFonts w:ascii="Verdana" w:hAnsi="Verdana" w:cs="Verdana"/>
        <w:b/>
        <w:bCs/>
        <w:snapToGrid/>
        <w:sz w:val="22"/>
        <w:szCs w:val="22"/>
      </w:rPr>
    </w:lvl>
  </w:abstractNum>
  <w:abstractNum w:abstractNumId="6" w15:restartNumberingAfterBreak="0">
    <w:nsid w:val="07E782E9"/>
    <w:multiLevelType w:val="singleLevel"/>
    <w:tmpl w:val="192114FE"/>
    <w:lvl w:ilvl="0">
      <w:numFmt w:val="bullet"/>
      <w:lvlText w:val="·"/>
      <w:lvlJc w:val="left"/>
      <w:pPr>
        <w:tabs>
          <w:tab w:val="num" w:pos="1656"/>
        </w:tabs>
        <w:ind w:left="936"/>
      </w:pPr>
      <w:rPr>
        <w:rFonts w:ascii="Symbol" w:hAnsi="Symbol" w:cs="Symbol"/>
        <w:i/>
        <w:iCs/>
        <w:snapToGrid/>
        <w:spacing w:val="-40"/>
        <w:sz w:val="22"/>
        <w:szCs w:val="22"/>
      </w:rPr>
    </w:lvl>
  </w:abstractNum>
  <w:num w:numId="1">
    <w:abstractNumId w:val="4"/>
  </w:num>
  <w:num w:numId="2">
    <w:abstractNumId w:val="4"/>
    <w:lvlOverride w:ilvl="0">
      <w:lvl w:ilvl="0">
        <w:numFmt w:val="decimal"/>
        <w:lvlText w:val="%1.-"/>
        <w:lvlJc w:val="left"/>
        <w:pPr>
          <w:tabs>
            <w:tab w:val="num" w:pos="720"/>
          </w:tabs>
          <w:ind w:left="144"/>
        </w:pPr>
        <w:rPr>
          <w:rFonts w:ascii="Verdana" w:hAnsi="Verdana" w:cs="Verdana"/>
          <w:b/>
          <w:bCs/>
          <w:snapToGrid/>
          <w:spacing w:val="-3"/>
          <w:sz w:val="22"/>
          <w:szCs w:val="22"/>
        </w:rPr>
      </w:lvl>
    </w:lvlOverride>
  </w:num>
  <w:num w:numId="3">
    <w:abstractNumId w:val="3"/>
  </w:num>
  <w:num w:numId="4">
    <w:abstractNumId w:val="5"/>
  </w:num>
  <w:num w:numId="5">
    <w:abstractNumId w:val="2"/>
  </w:num>
  <w:num w:numId="6">
    <w:abstractNumId w:val="6"/>
  </w:num>
  <w:num w:numId="7">
    <w:abstractNumId w:val="0"/>
  </w:num>
  <w:num w:numId="8">
    <w:abstractNumId w:val="1"/>
  </w:num>
  <w:num w:numId="9">
    <w:abstractNumId w:val="1"/>
    <w:lvlOverride w:ilvl="0">
      <w:lvl w:ilvl="0">
        <w:numFmt w:val="upperRoman"/>
        <w:lvlText w:val="%1.-"/>
        <w:lvlJc w:val="left"/>
        <w:pPr>
          <w:tabs>
            <w:tab w:val="num" w:pos="864"/>
          </w:tabs>
          <w:ind w:left="216"/>
        </w:pPr>
        <w:rPr>
          <w:rFonts w:ascii="Verdana" w:hAnsi="Verdana" w:cs="Verdana"/>
          <w:b/>
          <w:i w:val="0"/>
          <w:snapToGrid/>
          <w:spacing w:val="-1"/>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36"/>
    <w:rsid w:val="00462336"/>
    <w:rsid w:val="00617B56"/>
    <w:rsid w:val="00DD67AA"/>
    <w:rsid w:val="00FE70E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5B7BD08-7965-4F7B-8D22-71F239168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8424</Words>
  <Characters>46332</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Gerardo Vargas Arguello</cp:lastModifiedBy>
  <cp:revision>2</cp:revision>
  <dcterms:created xsi:type="dcterms:W3CDTF">2019-04-25T16:48:00Z</dcterms:created>
  <dcterms:modified xsi:type="dcterms:W3CDTF">2019-04-25T16:48:00Z</dcterms:modified>
</cp:coreProperties>
</file>